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3FE6E" w14:textId="77777777" w:rsidR="009D12C4" w:rsidRDefault="00EA44D2">
      <w:pPr>
        <w:spacing w:after="0" w:line="259" w:lineRule="auto"/>
        <w:ind w:left="0" w:right="0" w:firstLine="0"/>
        <w:jc w:val="left"/>
      </w:pPr>
      <w:r>
        <w:t xml:space="preserve"> </w:t>
      </w:r>
    </w:p>
    <w:tbl>
      <w:tblPr>
        <w:tblStyle w:val="TableGrid"/>
        <w:tblW w:w="8367" w:type="dxa"/>
        <w:tblInd w:w="0" w:type="dxa"/>
        <w:tblLook w:val="04A0" w:firstRow="1" w:lastRow="0" w:firstColumn="1" w:lastColumn="0" w:noHBand="0" w:noVBand="1"/>
      </w:tblPr>
      <w:tblGrid>
        <w:gridCol w:w="3226"/>
        <w:gridCol w:w="5141"/>
      </w:tblGrid>
      <w:tr w:rsidR="009D12C4" w14:paraId="0853FE71" w14:textId="77777777">
        <w:trPr>
          <w:trHeight w:val="256"/>
        </w:trPr>
        <w:tc>
          <w:tcPr>
            <w:tcW w:w="3226" w:type="dxa"/>
            <w:tcBorders>
              <w:top w:val="nil"/>
              <w:left w:val="nil"/>
              <w:bottom w:val="nil"/>
              <w:right w:val="nil"/>
            </w:tcBorders>
          </w:tcPr>
          <w:p w14:paraId="0853FE6F" w14:textId="77777777" w:rsidR="009D12C4" w:rsidRDefault="00EA44D2">
            <w:pPr>
              <w:spacing w:after="0" w:line="259" w:lineRule="auto"/>
              <w:ind w:left="0" w:right="0" w:firstLine="0"/>
              <w:jc w:val="left"/>
            </w:pPr>
            <w:r>
              <w:rPr>
                <w:b/>
              </w:rPr>
              <w:t>Application Number</w:t>
            </w:r>
            <w:r>
              <w:t xml:space="preserve"> </w:t>
            </w:r>
          </w:p>
        </w:tc>
        <w:tc>
          <w:tcPr>
            <w:tcW w:w="5141" w:type="dxa"/>
            <w:tcBorders>
              <w:top w:val="nil"/>
              <w:left w:val="nil"/>
              <w:bottom w:val="nil"/>
              <w:right w:val="nil"/>
            </w:tcBorders>
          </w:tcPr>
          <w:p w14:paraId="0853FE70" w14:textId="77777777" w:rsidR="009D12C4" w:rsidRDefault="00EA44D2">
            <w:pPr>
              <w:spacing w:after="0" w:line="259" w:lineRule="auto"/>
              <w:ind w:left="310" w:right="0" w:firstLine="0"/>
              <w:jc w:val="left"/>
            </w:pPr>
            <w:r>
              <w:t>07</w:t>
            </w:r>
            <w:r w:rsidR="00692959">
              <w:t>/ 2016/0</w:t>
            </w:r>
            <w:r w:rsidR="00E239E9">
              <w:t>591</w:t>
            </w:r>
            <w:r w:rsidR="00692959">
              <w:t xml:space="preserve">/OUT  </w:t>
            </w:r>
            <w:r>
              <w:t xml:space="preserve"> </w:t>
            </w:r>
          </w:p>
        </w:tc>
      </w:tr>
      <w:tr w:rsidR="009D12C4" w14:paraId="0853FE7B" w14:textId="77777777">
        <w:trPr>
          <w:trHeight w:val="1874"/>
        </w:trPr>
        <w:tc>
          <w:tcPr>
            <w:tcW w:w="3226" w:type="dxa"/>
            <w:tcBorders>
              <w:top w:val="nil"/>
              <w:left w:val="nil"/>
              <w:bottom w:val="nil"/>
              <w:right w:val="nil"/>
            </w:tcBorders>
          </w:tcPr>
          <w:p w14:paraId="0853FE72" w14:textId="77777777" w:rsidR="009D12C4" w:rsidRDefault="00EA44D2">
            <w:pPr>
              <w:spacing w:after="0" w:line="259" w:lineRule="auto"/>
              <w:ind w:left="0" w:right="0" w:firstLine="0"/>
              <w:jc w:val="left"/>
            </w:pPr>
            <w:r>
              <w:rPr>
                <w:b/>
              </w:rPr>
              <w:t xml:space="preserve"> </w:t>
            </w:r>
          </w:p>
          <w:p w14:paraId="0853FE73" w14:textId="77777777" w:rsidR="009D12C4" w:rsidRDefault="00EA44D2">
            <w:pPr>
              <w:spacing w:after="0" w:line="259" w:lineRule="auto"/>
              <w:ind w:left="0" w:right="0" w:firstLine="0"/>
              <w:jc w:val="left"/>
            </w:pPr>
            <w:r>
              <w:rPr>
                <w:b/>
              </w:rPr>
              <w:t>Address</w:t>
            </w:r>
            <w:r>
              <w:t xml:space="preserve"> </w:t>
            </w:r>
          </w:p>
        </w:tc>
        <w:tc>
          <w:tcPr>
            <w:tcW w:w="5141" w:type="dxa"/>
            <w:tcBorders>
              <w:top w:val="nil"/>
              <w:left w:val="nil"/>
              <w:bottom w:val="nil"/>
              <w:right w:val="nil"/>
            </w:tcBorders>
          </w:tcPr>
          <w:p w14:paraId="0853FE74" w14:textId="77777777" w:rsidR="009D12C4" w:rsidRDefault="00EA44D2">
            <w:pPr>
              <w:spacing w:after="0" w:line="259" w:lineRule="auto"/>
              <w:ind w:left="310" w:right="0" w:firstLine="0"/>
              <w:jc w:val="left"/>
            </w:pPr>
            <w:r>
              <w:t xml:space="preserve"> </w:t>
            </w:r>
          </w:p>
          <w:p w14:paraId="0853FE75" w14:textId="77777777" w:rsidR="009D12C4" w:rsidRDefault="00EA44D2">
            <w:pPr>
              <w:spacing w:after="0" w:line="259" w:lineRule="auto"/>
              <w:ind w:left="310" w:right="0" w:firstLine="0"/>
              <w:jc w:val="left"/>
            </w:pPr>
            <w:r>
              <w:t xml:space="preserve">Land Off Shaw Brook Road and </w:t>
            </w:r>
          </w:p>
          <w:p w14:paraId="0853FE76" w14:textId="77777777" w:rsidR="009D12C4" w:rsidRDefault="00EA44D2">
            <w:pPr>
              <w:spacing w:after="0" w:line="259" w:lineRule="auto"/>
              <w:ind w:left="310" w:right="0" w:firstLine="0"/>
              <w:jc w:val="left"/>
            </w:pPr>
            <w:r>
              <w:t xml:space="preserve">Altcar Lane </w:t>
            </w:r>
          </w:p>
          <w:p w14:paraId="0853FE77" w14:textId="77777777" w:rsidR="009D12C4" w:rsidRDefault="00EA44D2">
            <w:pPr>
              <w:spacing w:after="0" w:line="259" w:lineRule="auto"/>
              <w:ind w:left="310" w:right="0" w:firstLine="0"/>
              <w:jc w:val="left"/>
            </w:pPr>
            <w:r>
              <w:t xml:space="preserve">Leyland </w:t>
            </w:r>
          </w:p>
          <w:p w14:paraId="0853FE78" w14:textId="77777777" w:rsidR="009D12C4" w:rsidRDefault="00EA44D2">
            <w:pPr>
              <w:spacing w:after="0" w:line="259" w:lineRule="auto"/>
              <w:ind w:left="310" w:right="0" w:firstLine="0"/>
              <w:jc w:val="left"/>
            </w:pPr>
            <w:r>
              <w:t xml:space="preserve">Lancashire </w:t>
            </w:r>
          </w:p>
          <w:p w14:paraId="0853FE79" w14:textId="77777777" w:rsidR="009D12C4" w:rsidRDefault="00EA44D2">
            <w:pPr>
              <w:spacing w:after="0" w:line="259" w:lineRule="auto"/>
              <w:ind w:left="310" w:right="0" w:firstLine="0"/>
              <w:jc w:val="left"/>
            </w:pPr>
            <w:r>
              <w:t xml:space="preserve"> </w:t>
            </w:r>
          </w:p>
          <w:p w14:paraId="0853FE7A" w14:textId="77777777" w:rsidR="009D12C4" w:rsidRDefault="00EA44D2">
            <w:pPr>
              <w:spacing w:after="0" w:line="259" w:lineRule="auto"/>
              <w:ind w:left="310" w:right="0" w:firstLine="0"/>
              <w:jc w:val="left"/>
            </w:pPr>
            <w:r>
              <w:t xml:space="preserve"> </w:t>
            </w:r>
          </w:p>
        </w:tc>
      </w:tr>
      <w:tr w:rsidR="009D12C4" w14:paraId="0853FE7F" w14:textId="77777777">
        <w:trPr>
          <w:trHeight w:val="535"/>
        </w:trPr>
        <w:tc>
          <w:tcPr>
            <w:tcW w:w="3226" w:type="dxa"/>
            <w:tcBorders>
              <w:top w:val="nil"/>
              <w:left w:val="nil"/>
              <w:bottom w:val="nil"/>
              <w:right w:val="nil"/>
            </w:tcBorders>
          </w:tcPr>
          <w:p w14:paraId="0853FE7C" w14:textId="77777777" w:rsidR="009D12C4" w:rsidRDefault="00EA44D2">
            <w:pPr>
              <w:spacing w:after="0" w:line="259" w:lineRule="auto"/>
              <w:ind w:left="0" w:right="0" w:firstLine="0"/>
              <w:jc w:val="left"/>
            </w:pPr>
            <w:r>
              <w:rPr>
                <w:b/>
              </w:rPr>
              <w:t>Applicant</w:t>
            </w:r>
            <w:r>
              <w:t xml:space="preserve"> </w:t>
            </w:r>
          </w:p>
          <w:p w14:paraId="0853FE7D" w14:textId="77777777" w:rsidR="009D12C4" w:rsidRDefault="00EA44D2">
            <w:pPr>
              <w:spacing w:after="0" w:line="259" w:lineRule="auto"/>
              <w:ind w:left="0" w:right="0" w:firstLine="0"/>
              <w:jc w:val="left"/>
            </w:pPr>
            <w:r>
              <w:t xml:space="preserve"> </w:t>
            </w:r>
          </w:p>
        </w:tc>
        <w:tc>
          <w:tcPr>
            <w:tcW w:w="5141" w:type="dxa"/>
            <w:tcBorders>
              <w:top w:val="nil"/>
              <w:left w:val="nil"/>
              <w:bottom w:val="nil"/>
              <w:right w:val="nil"/>
            </w:tcBorders>
          </w:tcPr>
          <w:p w14:paraId="0853FE7E" w14:textId="23F2D2C3" w:rsidR="009D12C4" w:rsidRDefault="00EA44D2">
            <w:pPr>
              <w:spacing w:after="0" w:line="259" w:lineRule="auto"/>
              <w:ind w:left="310" w:right="0" w:firstLine="0"/>
              <w:jc w:val="left"/>
            </w:pPr>
            <w:r>
              <w:t xml:space="preserve">Redrow Homes Lancashire Ltd </w:t>
            </w:r>
          </w:p>
        </w:tc>
      </w:tr>
      <w:tr w:rsidR="009D12C4" w14:paraId="0853FE82" w14:textId="77777777">
        <w:trPr>
          <w:trHeight w:val="1057"/>
        </w:trPr>
        <w:tc>
          <w:tcPr>
            <w:tcW w:w="3226" w:type="dxa"/>
            <w:tcBorders>
              <w:top w:val="nil"/>
              <w:left w:val="nil"/>
              <w:bottom w:val="nil"/>
              <w:right w:val="nil"/>
            </w:tcBorders>
          </w:tcPr>
          <w:p w14:paraId="0853FE80" w14:textId="77777777" w:rsidR="009D12C4" w:rsidRDefault="00EA44D2">
            <w:pPr>
              <w:spacing w:after="0" w:line="259" w:lineRule="auto"/>
              <w:ind w:left="0" w:right="0" w:firstLine="0"/>
              <w:jc w:val="left"/>
            </w:pPr>
            <w:r>
              <w:rPr>
                <w:b/>
              </w:rPr>
              <w:t>Development</w:t>
            </w:r>
            <w:r>
              <w:t xml:space="preserve"> </w:t>
            </w:r>
          </w:p>
        </w:tc>
        <w:tc>
          <w:tcPr>
            <w:tcW w:w="5141" w:type="dxa"/>
            <w:tcBorders>
              <w:top w:val="nil"/>
              <w:left w:val="nil"/>
              <w:bottom w:val="nil"/>
              <w:right w:val="nil"/>
            </w:tcBorders>
          </w:tcPr>
          <w:p w14:paraId="0853FE81" w14:textId="77777777" w:rsidR="009D12C4" w:rsidRDefault="00692959">
            <w:pPr>
              <w:spacing w:after="0" w:line="259" w:lineRule="auto"/>
              <w:ind w:left="320" w:right="59"/>
            </w:pPr>
            <w:r>
              <w:t xml:space="preserve">Variation to the Section 106 Agreement to provide for a commuted sum in lieu of affordable dwellings on site Ref: </w:t>
            </w:r>
            <w:r w:rsidR="00EA44D2">
              <w:t>07/2016/0591/OUT</w:t>
            </w:r>
            <w:r>
              <w:t>.</w:t>
            </w:r>
            <w:r w:rsidR="00EA44D2">
              <w:t xml:space="preserve"> </w:t>
            </w:r>
          </w:p>
        </w:tc>
      </w:tr>
      <w:tr w:rsidR="009D12C4" w14:paraId="0853FE8E" w14:textId="77777777">
        <w:trPr>
          <w:trHeight w:val="1071"/>
        </w:trPr>
        <w:tc>
          <w:tcPr>
            <w:tcW w:w="3226" w:type="dxa"/>
            <w:tcBorders>
              <w:top w:val="nil"/>
              <w:left w:val="nil"/>
              <w:bottom w:val="nil"/>
              <w:right w:val="nil"/>
            </w:tcBorders>
          </w:tcPr>
          <w:p w14:paraId="0853FE83" w14:textId="77777777" w:rsidR="00063668" w:rsidRDefault="00063668">
            <w:pPr>
              <w:spacing w:after="0" w:line="259" w:lineRule="auto"/>
              <w:ind w:left="0" w:right="0" w:firstLine="0"/>
              <w:jc w:val="left"/>
              <w:rPr>
                <w:b/>
              </w:rPr>
            </w:pPr>
          </w:p>
          <w:p w14:paraId="0853FE84" w14:textId="77777777" w:rsidR="009D12C4" w:rsidRDefault="00EA44D2">
            <w:pPr>
              <w:spacing w:after="0" w:line="259" w:lineRule="auto"/>
              <w:ind w:left="0" w:right="0" w:firstLine="0"/>
              <w:jc w:val="left"/>
            </w:pPr>
            <w:r>
              <w:rPr>
                <w:b/>
              </w:rPr>
              <w:t xml:space="preserve">Officer Recommendation </w:t>
            </w:r>
          </w:p>
          <w:p w14:paraId="0853FE85" w14:textId="77777777" w:rsidR="0071115F" w:rsidRDefault="0071115F">
            <w:pPr>
              <w:spacing w:after="0" w:line="259" w:lineRule="auto"/>
              <w:ind w:left="0" w:right="0" w:firstLine="0"/>
              <w:jc w:val="left"/>
              <w:rPr>
                <w:b/>
              </w:rPr>
            </w:pPr>
          </w:p>
          <w:p w14:paraId="0853FE86" w14:textId="77777777" w:rsidR="0071115F" w:rsidRDefault="0071115F">
            <w:pPr>
              <w:spacing w:after="0" w:line="259" w:lineRule="auto"/>
              <w:ind w:left="0" w:right="0" w:firstLine="0"/>
              <w:jc w:val="left"/>
              <w:rPr>
                <w:b/>
              </w:rPr>
            </w:pPr>
          </w:p>
          <w:p w14:paraId="0853FE87" w14:textId="77777777" w:rsidR="0071115F" w:rsidRDefault="0071115F">
            <w:pPr>
              <w:spacing w:after="0" w:line="259" w:lineRule="auto"/>
              <w:ind w:left="0" w:right="0" w:firstLine="0"/>
              <w:jc w:val="left"/>
              <w:rPr>
                <w:b/>
              </w:rPr>
            </w:pPr>
          </w:p>
          <w:p w14:paraId="0853FE88" w14:textId="77777777" w:rsidR="009D12C4" w:rsidRDefault="00EA44D2">
            <w:pPr>
              <w:spacing w:after="0" w:line="259" w:lineRule="auto"/>
              <w:ind w:left="0" w:right="0" w:firstLine="0"/>
              <w:jc w:val="left"/>
            </w:pPr>
            <w:r>
              <w:rPr>
                <w:b/>
              </w:rPr>
              <w:t>Officer Name</w:t>
            </w:r>
            <w:r>
              <w:t xml:space="preserve"> </w:t>
            </w:r>
          </w:p>
          <w:p w14:paraId="0853FE89" w14:textId="77777777" w:rsidR="009D12C4" w:rsidRDefault="00EA44D2">
            <w:pPr>
              <w:spacing w:after="0" w:line="259" w:lineRule="auto"/>
              <w:ind w:left="0" w:right="0" w:firstLine="0"/>
              <w:jc w:val="left"/>
            </w:pPr>
            <w:r>
              <w:t xml:space="preserve"> </w:t>
            </w:r>
          </w:p>
        </w:tc>
        <w:tc>
          <w:tcPr>
            <w:tcW w:w="5141" w:type="dxa"/>
            <w:tcBorders>
              <w:top w:val="nil"/>
              <w:left w:val="nil"/>
              <w:bottom w:val="nil"/>
              <w:right w:val="nil"/>
            </w:tcBorders>
          </w:tcPr>
          <w:p w14:paraId="0853FE8A" w14:textId="77777777" w:rsidR="009D12C4" w:rsidRDefault="00EA44D2">
            <w:pPr>
              <w:spacing w:after="0" w:line="259" w:lineRule="auto"/>
              <w:ind w:left="310" w:right="0" w:firstLine="0"/>
              <w:jc w:val="left"/>
            </w:pPr>
            <w:r>
              <w:rPr>
                <w:b/>
              </w:rPr>
              <w:t xml:space="preserve"> </w:t>
            </w:r>
          </w:p>
          <w:p w14:paraId="0853FE8B" w14:textId="7228D7FC" w:rsidR="00724CBA" w:rsidRPr="007E5210" w:rsidRDefault="00A752A2">
            <w:pPr>
              <w:spacing w:after="0" w:line="259" w:lineRule="auto"/>
              <w:ind w:left="310" w:right="0" w:firstLine="0"/>
              <w:jc w:val="left"/>
              <w:rPr>
                <w:color w:val="auto"/>
              </w:rPr>
            </w:pPr>
            <w:r w:rsidRPr="007E5210">
              <w:rPr>
                <w:color w:val="auto"/>
              </w:rPr>
              <w:t>To seek d</w:t>
            </w:r>
            <w:r w:rsidR="00724CBA" w:rsidRPr="007E5210">
              <w:rPr>
                <w:color w:val="auto"/>
              </w:rPr>
              <w:t xml:space="preserve">elegated authority to </w:t>
            </w:r>
            <w:r w:rsidR="0071115F" w:rsidRPr="007E5210">
              <w:rPr>
                <w:color w:val="auto"/>
              </w:rPr>
              <w:t>vary the Section 106 Agreement to provide for a commuted sum in lieu of the 20%</w:t>
            </w:r>
            <w:r w:rsidR="00881B66">
              <w:rPr>
                <w:color w:val="auto"/>
              </w:rPr>
              <w:t xml:space="preserve"> </w:t>
            </w:r>
            <w:r w:rsidR="0071115F" w:rsidRPr="007E5210">
              <w:rPr>
                <w:color w:val="auto"/>
              </w:rPr>
              <w:t>on</w:t>
            </w:r>
            <w:bookmarkStart w:id="0" w:name="_GoBack"/>
            <w:bookmarkEnd w:id="0"/>
            <w:r w:rsidR="0071115F" w:rsidRPr="007E5210">
              <w:rPr>
                <w:color w:val="auto"/>
              </w:rPr>
              <w:t xml:space="preserve"> site affordable dwellings. </w:t>
            </w:r>
          </w:p>
          <w:p w14:paraId="0853FE8C" w14:textId="77777777" w:rsidR="0071115F" w:rsidRPr="007E5210" w:rsidRDefault="0071115F">
            <w:pPr>
              <w:spacing w:after="0" w:line="259" w:lineRule="auto"/>
              <w:ind w:left="310" w:right="0" w:firstLine="0"/>
              <w:jc w:val="left"/>
            </w:pPr>
          </w:p>
          <w:p w14:paraId="0853FE8D" w14:textId="77777777" w:rsidR="009D12C4" w:rsidRDefault="00EA44D2">
            <w:pPr>
              <w:spacing w:after="0" w:line="259" w:lineRule="auto"/>
              <w:ind w:left="310" w:right="0" w:firstLine="0"/>
              <w:jc w:val="left"/>
            </w:pPr>
            <w:r w:rsidRPr="007E5210">
              <w:t>Mrs Catherine Lewis</w:t>
            </w:r>
            <w:r>
              <w:rPr>
                <w:b/>
              </w:rPr>
              <w:t xml:space="preserve"> </w:t>
            </w:r>
          </w:p>
        </w:tc>
      </w:tr>
      <w:tr w:rsidR="009D12C4" w14:paraId="0853FE91" w14:textId="77777777">
        <w:trPr>
          <w:trHeight w:val="268"/>
        </w:trPr>
        <w:tc>
          <w:tcPr>
            <w:tcW w:w="3226" w:type="dxa"/>
            <w:tcBorders>
              <w:top w:val="nil"/>
              <w:left w:val="nil"/>
              <w:bottom w:val="nil"/>
              <w:right w:val="nil"/>
            </w:tcBorders>
          </w:tcPr>
          <w:p w14:paraId="0853FE8F" w14:textId="77777777" w:rsidR="009D12C4" w:rsidRDefault="009D12C4">
            <w:pPr>
              <w:spacing w:after="0" w:line="259" w:lineRule="auto"/>
              <w:ind w:left="0" w:right="0" w:firstLine="0"/>
              <w:jc w:val="left"/>
            </w:pPr>
          </w:p>
        </w:tc>
        <w:tc>
          <w:tcPr>
            <w:tcW w:w="5141" w:type="dxa"/>
            <w:tcBorders>
              <w:top w:val="nil"/>
              <w:left w:val="nil"/>
              <w:bottom w:val="nil"/>
              <w:right w:val="nil"/>
            </w:tcBorders>
          </w:tcPr>
          <w:p w14:paraId="0853FE90" w14:textId="77777777" w:rsidR="009D12C4" w:rsidRDefault="009D12C4">
            <w:pPr>
              <w:spacing w:after="0" w:line="259" w:lineRule="auto"/>
              <w:ind w:left="0" w:right="0" w:firstLine="0"/>
              <w:jc w:val="left"/>
            </w:pPr>
          </w:p>
        </w:tc>
      </w:tr>
      <w:tr w:rsidR="009D12C4" w14:paraId="0853FE94" w14:textId="77777777">
        <w:trPr>
          <w:trHeight w:val="268"/>
        </w:trPr>
        <w:tc>
          <w:tcPr>
            <w:tcW w:w="3226" w:type="dxa"/>
            <w:tcBorders>
              <w:top w:val="nil"/>
              <w:left w:val="nil"/>
              <w:bottom w:val="nil"/>
              <w:right w:val="nil"/>
            </w:tcBorders>
          </w:tcPr>
          <w:p w14:paraId="0853FE92" w14:textId="77777777" w:rsidR="009D12C4" w:rsidRDefault="009D12C4">
            <w:pPr>
              <w:spacing w:after="0" w:line="259" w:lineRule="auto"/>
              <w:ind w:left="0" w:right="0" w:firstLine="0"/>
              <w:jc w:val="left"/>
            </w:pPr>
          </w:p>
        </w:tc>
        <w:tc>
          <w:tcPr>
            <w:tcW w:w="5141" w:type="dxa"/>
            <w:tcBorders>
              <w:top w:val="nil"/>
              <w:left w:val="nil"/>
              <w:bottom w:val="nil"/>
              <w:right w:val="nil"/>
            </w:tcBorders>
          </w:tcPr>
          <w:p w14:paraId="0853FE93" w14:textId="77777777" w:rsidR="009D12C4" w:rsidRDefault="009D12C4">
            <w:pPr>
              <w:spacing w:after="0" w:line="259" w:lineRule="auto"/>
              <w:ind w:left="0" w:right="0" w:firstLine="0"/>
              <w:jc w:val="left"/>
            </w:pPr>
          </w:p>
        </w:tc>
      </w:tr>
      <w:tr w:rsidR="009D12C4" w14:paraId="0853FE97" w14:textId="77777777">
        <w:trPr>
          <w:trHeight w:val="256"/>
        </w:trPr>
        <w:tc>
          <w:tcPr>
            <w:tcW w:w="3226" w:type="dxa"/>
            <w:tcBorders>
              <w:top w:val="nil"/>
              <w:left w:val="nil"/>
              <w:bottom w:val="nil"/>
              <w:right w:val="nil"/>
            </w:tcBorders>
          </w:tcPr>
          <w:p w14:paraId="0853FE95" w14:textId="77777777" w:rsidR="009D12C4" w:rsidRDefault="009D12C4">
            <w:pPr>
              <w:spacing w:after="0" w:line="259" w:lineRule="auto"/>
              <w:ind w:left="0" w:right="0" w:firstLine="0"/>
              <w:jc w:val="left"/>
            </w:pPr>
          </w:p>
        </w:tc>
        <w:tc>
          <w:tcPr>
            <w:tcW w:w="5141" w:type="dxa"/>
            <w:tcBorders>
              <w:top w:val="nil"/>
              <w:left w:val="nil"/>
              <w:bottom w:val="nil"/>
              <w:right w:val="nil"/>
            </w:tcBorders>
          </w:tcPr>
          <w:p w14:paraId="0853FE96" w14:textId="77777777" w:rsidR="009D12C4" w:rsidRDefault="009D12C4">
            <w:pPr>
              <w:spacing w:after="0" w:line="259" w:lineRule="auto"/>
              <w:ind w:left="0" w:right="0" w:firstLine="0"/>
              <w:jc w:val="left"/>
            </w:pPr>
          </w:p>
        </w:tc>
      </w:tr>
    </w:tbl>
    <w:p w14:paraId="0853FE98" w14:textId="77777777" w:rsidR="009D12C4" w:rsidRDefault="00EA44D2">
      <w:pPr>
        <w:spacing w:after="0" w:line="259" w:lineRule="auto"/>
        <w:ind w:left="0" w:right="0" w:firstLine="0"/>
        <w:jc w:val="left"/>
      </w:pPr>
      <w:r>
        <w:t xml:space="preserve"> </w:t>
      </w:r>
    </w:p>
    <w:p w14:paraId="0853FE99" w14:textId="77777777" w:rsidR="00181DEC" w:rsidRDefault="00EA44D2">
      <w:pPr>
        <w:spacing w:after="0" w:line="259" w:lineRule="auto"/>
        <w:ind w:left="0" w:right="0" w:firstLine="0"/>
        <w:jc w:val="left"/>
        <w:rPr>
          <w:b/>
        </w:rPr>
      </w:pPr>
      <w:r>
        <w:rPr>
          <w:b/>
          <w:color w:val="FF0000"/>
        </w:rPr>
        <w:t xml:space="preserve"> </w:t>
      </w:r>
    </w:p>
    <w:p w14:paraId="0853FE9A" w14:textId="77777777" w:rsidR="00181DEC" w:rsidRDefault="00181DEC">
      <w:pPr>
        <w:spacing w:after="0" w:line="259" w:lineRule="auto"/>
        <w:ind w:left="0" w:right="0" w:firstLine="0"/>
        <w:jc w:val="left"/>
        <w:rPr>
          <w:b/>
        </w:rPr>
      </w:pPr>
      <w:r w:rsidRPr="00181DEC">
        <w:rPr>
          <w:rFonts w:eastAsia="Times New Roman"/>
          <w:noProof/>
          <w:color w:val="auto"/>
        </w:rPr>
        <w:drawing>
          <wp:inline distT="0" distB="0" distL="0" distR="0" wp14:anchorId="0853FF48" wp14:editId="0853FF49">
            <wp:extent cx="5597314" cy="3943350"/>
            <wp:effectExtent l="19050" t="19050" r="2286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282" cy="3951077"/>
                    </a:xfrm>
                    <a:prstGeom prst="rect">
                      <a:avLst/>
                    </a:prstGeom>
                    <a:noFill/>
                    <a:ln w="6350" cmpd="sng">
                      <a:solidFill>
                        <a:srgbClr val="000000"/>
                      </a:solidFill>
                      <a:miter lim="800000"/>
                      <a:headEnd/>
                      <a:tailEnd/>
                    </a:ln>
                    <a:effectLst/>
                  </pic:spPr>
                </pic:pic>
              </a:graphicData>
            </a:graphic>
          </wp:inline>
        </w:drawing>
      </w:r>
    </w:p>
    <w:p w14:paraId="0853FE9B" w14:textId="77777777" w:rsidR="00181DEC" w:rsidRDefault="00181DEC">
      <w:pPr>
        <w:spacing w:after="0" w:line="259" w:lineRule="auto"/>
        <w:ind w:left="0" w:right="0" w:firstLine="0"/>
        <w:jc w:val="left"/>
        <w:rPr>
          <w:b/>
        </w:rPr>
      </w:pPr>
    </w:p>
    <w:p w14:paraId="0853FE9C" w14:textId="77777777" w:rsidR="00181DEC" w:rsidRDefault="00181DEC">
      <w:pPr>
        <w:spacing w:after="0" w:line="259" w:lineRule="auto"/>
        <w:ind w:left="0" w:right="0" w:firstLine="0"/>
        <w:jc w:val="left"/>
        <w:rPr>
          <w:b/>
        </w:rPr>
      </w:pPr>
    </w:p>
    <w:p w14:paraId="0853FE9D" w14:textId="77777777" w:rsidR="00181DEC" w:rsidRDefault="00181DEC">
      <w:pPr>
        <w:spacing w:after="0" w:line="259" w:lineRule="auto"/>
        <w:ind w:left="0" w:right="0" w:firstLine="0"/>
        <w:jc w:val="left"/>
        <w:rPr>
          <w:b/>
        </w:rPr>
      </w:pPr>
    </w:p>
    <w:p w14:paraId="0853FE9E" w14:textId="77777777" w:rsidR="00181DEC" w:rsidRDefault="00181DEC">
      <w:pPr>
        <w:spacing w:after="0" w:line="259" w:lineRule="auto"/>
        <w:ind w:left="0" w:right="0" w:firstLine="0"/>
        <w:jc w:val="left"/>
        <w:rPr>
          <w:b/>
        </w:rPr>
      </w:pPr>
    </w:p>
    <w:p w14:paraId="0853FE9F" w14:textId="77777777" w:rsidR="00181DEC" w:rsidRDefault="00181DEC">
      <w:pPr>
        <w:spacing w:after="0" w:line="259" w:lineRule="auto"/>
        <w:ind w:left="0" w:right="0" w:firstLine="0"/>
        <w:jc w:val="left"/>
        <w:rPr>
          <w:b/>
        </w:rPr>
      </w:pPr>
    </w:p>
    <w:p w14:paraId="0853FEA0" w14:textId="77777777" w:rsidR="009D12C4" w:rsidRDefault="00EA44D2">
      <w:pPr>
        <w:pStyle w:val="Heading1"/>
        <w:ind w:left="-5"/>
      </w:pPr>
      <w:r>
        <w:t>1.0 Report Summary</w:t>
      </w:r>
      <w:r>
        <w:rPr>
          <w:u w:val="none"/>
        </w:rPr>
        <w:t xml:space="preserve"> </w:t>
      </w:r>
    </w:p>
    <w:p w14:paraId="0853FEA1" w14:textId="77777777" w:rsidR="009D12C4" w:rsidRDefault="00EA44D2">
      <w:pPr>
        <w:spacing w:after="0" w:line="259" w:lineRule="auto"/>
        <w:ind w:left="0" w:right="0" w:firstLine="0"/>
        <w:jc w:val="left"/>
      </w:pPr>
      <w:r>
        <w:rPr>
          <w:b/>
        </w:rPr>
        <w:t xml:space="preserve"> </w:t>
      </w:r>
    </w:p>
    <w:p w14:paraId="0853FEA2" w14:textId="77777777" w:rsidR="009D12C4" w:rsidRDefault="00EA44D2">
      <w:pPr>
        <w:ind w:left="5" w:right="10"/>
      </w:pPr>
      <w:r>
        <w:t xml:space="preserve">1.1 Outline planning permission was granted for up to 400 dwellings and associated infrastructure following the successful completion of a Section 106 Agreement in September 2017. The Affordable housing contribution element of the Section 106 required 10% as a commuted sum for provision off-site and 20% </w:t>
      </w:r>
      <w:r w:rsidR="00612CF6">
        <w:t xml:space="preserve">starter homes or </w:t>
      </w:r>
      <w:r>
        <w:t>discounted open market value</w:t>
      </w:r>
      <w:r w:rsidR="00C24E02">
        <w:t xml:space="preserve"> (DOMV)</w:t>
      </w:r>
      <w:r>
        <w:t xml:space="preserve"> units on site.  </w:t>
      </w:r>
    </w:p>
    <w:p w14:paraId="0853FEA3" w14:textId="77777777" w:rsidR="009D12C4" w:rsidRDefault="00EA44D2">
      <w:pPr>
        <w:spacing w:after="0" w:line="259" w:lineRule="auto"/>
        <w:ind w:left="0" w:right="0" w:firstLine="0"/>
        <w:jc w:val="left"/>
      </w:pPr>
      <w:r>
        <w:rPr>
          <w:b/>
        </w:rPr>
        <w:t xml:space="preserve"> </w:t>
      </w:r>
    </w:p>
    <w:p w14:paraId="0853FEA4" w14:textId="77777777" w:rsidR="00FB6CAB" w:rsidRDefault="00EA44D2">
      <w:pPr>
        <w:ind w:left="5" w:right="10"/>
        <w:rPr>
          <w:rFonts w:cstheme="minorHAnsi"/>
          <w:bCs/>
        </w:rPr>
      </w:pPr>
      <w:r>
        <w:t xml:space="preserve">1.2 </w:t>
      </w:r>
      <w:r w:rsidR="00C24E02">
        <w:rPr>
          <w:rFonts w:cstheme="minorHAnsi"/>
          <w:bCs/>
        </w:rPr>
        <w:t xml:space="preserve">Due to the failure of the Starter Home initiative and the recent changes to lender requirements obtaining mortgages for DOMV units Redrow has advised </w:t>
      </w:r>
      <w:r w:rsidR="009625A9">
        <w:rPr>
          <w:rFonts w:cstheme="minorHAnsi"/>
          <w:bCs/>
        </w:rPr>
        <w:t xml:space="preserve">that this tenure has become less financially attractive to sell. Under the current Section 106 agreement if these properties have not sold in six months a commuted sum is paid to the Council. </w:t>
      </w:r>
    </w:p>
    <w:p w14:paraId="0853FEA5" w14:textId="77777777" w:rsidR="00FB6CAB" w:rsidRDefault="00FB6CAB">
      <w:pPr>
        <w:ind w:left="5" w:right="10"/>
        <w:rPr>
          <w:rFonts w:cstheme="minorHAnsi"/>
          <w:bCs/>
        </w:rPr>
      </w:pPr>
    </w:p>
    <w:p w14:paraId="0853FEA6" w14:textId="77777777" w:rsidR="00845249" w:rsidRPr="00845249" w:rsidRDefault="00FB6CAB" w:rsidP="00845249">
      <w:pPr>
        <w:ind w:left="5" w:right="10"/>
        <w:rPr>
          <w:rFonts w:cstheme="minorHAnsi"/>
          <w:bCs/>
        </w:rPr>
      </w:pPr>
      <w:r>
        <w:rPr>
          <w:rFonts w:cstheme="minorHAnsi"/>
          <w:bCs/>
        </w:rPr>
        <w:t xml:space="preserve">1.3 </w:t>
      </w:r>
      <w:r w:rsidR="009625A9">
        <w:rPr>
          <w:rFonts w:cstheme="minorHAnsi"/>
          <w:bCs/>
        </w:rPr>
        <w:t xml:space="preserve">Redrow has requested that </w:t>
      </w:r>
      <w:r>
        <w:rPr>
          <w:rFonts w:cstheme="minorHAnsi"/>
          <w:bCs/>
        </w:rPr>
        <w:t>the Section 106 be varied to bring forward this payment. The Council</w:t>
      </w:r>
      <w:r w:rsidR="004B0C17">
        <w:rPr>
          <w:rFonts w:cstheme="minorHAnsi"/>
          <w:bCs/>
        </w:rPr>
        <w:t>’</w:t>
      </w:r>
      <w:r>
        <w:rPr>
          <w:rFonts w:cstheme="minorHAnsi"/>
          <w:bCs/>
        </w:rPr>
        <w:t xml:space="preserve">s </w:t>
      </w:r>
      <w:r w:rsidR="004B0C17">
        <w:rPr>
          <w:rFonts w:cstheme="minorHAnsi"/>
          <w:bCs/>
        </w:rPr>
        <w:t>viability</w:t>
      </w:r>
      <w:r>
        <w:rPr>
          <w:rFonts w:cstheme="minorHAnsi"/>
          <w:bCs/>
        </w:rPr>
        <w:t xml:space="preserve"> </w:t>
      </w:r>
      <w:r w:rsidR="004B0C17">
        <w:rPr>
          <w:rFonts w:cstheme="minorHAnsi"/>
          <w:bCs/>
        </w:rPr>
        <w:t>assessor</w:t>
      </w:r>
      <w:r>
        <w:rPr>
          <w:rFonts w:cstheme="minorHAnsi"/>
          <w:bCs/>
        </w:rPr>
        <w:t xml:space="preserve"> has sense checked the </w:t>
      </w:r>
      <w:r w:rsidR="004B0C17">
        <w:rPr>
          <w:rFonts w:cstheme="minorHAnsi"/>
          <w:bCs/>
        </w:rPr>
        <w:t>information</w:t>
      </w:r>
      <w:r>
        <w:rPr>
          <w:rFonts w:cstheme="minorHAnsi"/>
          <w:bCs/>
        </w:rPr>
        <w:t xml:space="preserve"> and </w:t>
      </w:r>
      <w:r w:rsidR="004B0C17">
        <w:rPr>
          <w:rFonts w:cstheme="minorHAnsi"/>
          <w:bCs/>
        </w:rPr>
        <w:t xml:space="preserve">in principle </w:t>
      </w:r>
      <w:proofErr w:type="gramStart"/>
      <w:r w:rsidR="004B0C17">
        <w:rPr>
          <w:rFonts w:cstheme="minorHAnsi"/>
          <w:bCs/>
        </w:rPr>
        <w:t>is in agreement</w:t>
      </w:r>
      <w:proofErr w:type="gramEnd"/>
      <w:r w:rsidR="004B0C17">
        <w:rPr>
          <w:rFonts w:cstheme="minorHAnsi"/>
          <w:bCs/>
        </w:rPr>
        <w:t xml:space="preserve">. </w:t>
      </w:r>
      <w:r w:rsidR="00845249" w:rsidRPr="00845249">
        <w:rPr>
          <w:rFonts w:cstheme="minorHAnsi"/>
          <w:bCs/>
        </w:rPr>
        <w:t>They have recommended some caveats to be put in place with regard to the timing and calculation of the off-site commuted sum which have been agreed by the applicant. These changes ensure that any off-site commuted sum is based upon the most recent Land Registry prices which is a transparent and fair way to calculate such a sum.</w:t>
      </w:r>
    </w:p>
    <w:p w14:paraId="0853FEA7" w14:textId="77777777" w:rsidR="009D12C4" w:rsidRDefault="009D12C4">
      <w:pPr>
        <w:ind w:left="5" w:right="10"/>
      </w:pPr>
    </w:p>
    <w:p w14:paraId="0853FEA8" w14:textId="77777777" w:rsidR="00063668" w:rsidRDefault="00EA44D2" w:rsidP="00845249">
      <w:pPr>
        <w:spacing w:after="0" w:line="259" w:lineRule="auto"/>
        <w:ind w:left="0" w:right="0" w:firstLine="0"/>
        <w:jc w:val="left"/>
      </w:pPr>
      <w:r>
        <w:t xml:space="preserve"> </w:t>
      </w:r>
      <w:r w:rsidR="00FB6CAB">
        <w:t xml:space="preserve">1.4 </w:t>
      </w:r>
      <w:r w:rsidR="004B0C17">
        <w:t>The variation of the Section 106 to bring forward the commuted sum instead of the 20% on site affordable housing is recommended for approval</w:t>
      </w:r>
      <w:r w:rsidR="00845249">
        <w:t xml:space="preserve"> as per the officer recommendation. </w:t>
      </w:r>
    </w:p>
    <w:p w14:paraId="0853FEA9" w14:textId="77777777" w:rsidR="009D12C4" w:rsidRDefault="00EA44D2">
      <w:pPr>
        <w:spacing w:after="0" w:line="259" w:lineRule="auto"/>
        <w:ind w:left="0" w:right="0" w:firstLine="0"/>
        <w:jc w:val="left"/>
      </w:pPr>
      <w:r>
        <w:rPr>
          <w:color w:val="FF0000"/>
        </w:rPr>
        <w:t xml:space="preserve"> </w:t>
      </w:r>
    </w:p>
    <w:p w14:paraId="0853FEAA" w14:textId="77777777" w:rsidR="009D12C4" w:rsidRDefault="009D12C4">
      <w:pPr>
        <w:spacing w:after="0" w:line="259" w:lineRule="auto"/>
        <w:ind w:left="0" w:right="0" w:firstLine="0"/>
        <w:jc w:val="left"/>
      </w:pPr>
    </w:p>
    <w:p w14:paraId="0853FEAB" w14:textId="77777777" w:rsidR="009D12C4" w:rsidRDefault="00EA44D2">
      <w:pPr>
        <w:pStyle w:val="Heading1"/>
        <w:ind w:left="-5"/>
      </w:pPr>
      <w:r>
        <w:t>2.0 Site and Surrounding Area</w:t>
      </w:r>
      <w:r>
        <w:rPr>
          <w:u w:val="none"/>
        </w:rPr>
        <w:t xml:space="preserve"> </w:t>
      </w:r>
    </w:p>
    <w:p w14:paraId="0853FEAC" w14:textId="77777777" w:rsidR="009D12C4" w:rsidRDefault="00EA44D2">
      <w:pPr>
        <w:spacing w:after="0" w:line="259" w:lineRule="auto"/>
        <w:ind w:left="0" w:right="0" w:firstLine="0"/>
        <w:jc w:val="left"/>
      </w:pPr>
      <w:r>
        <w:rPr>
          <w:b/>
        </w:rPr>
        <w:t xml:space="preserve"> </w:t>
      </w:r>
    </w:p>
    <w:p w14:paraId="0853FEAD" w14:textId="77777777" w:rsidR="009D12C4" w:rsidRDefault="00EA44D2">
      <w:pPr>
        <w:ind w:left="5" w:right="10"/>
      </w:pPr>
      <w:r>
        <w:t xml:space="preserve">2.1 The application site is located approximately 2km south of Leyland town centre and forms part of a wider residential development. Shaw Brook Road forms the northern boundary, with residential properties previously approved under permission 07/2018/1674/REM to the west and southern boundaries. The eastern boundary has permission in outline form for residential development and therefore no formal details have yet been submitted for this aspect.  </w:t>
      </w:r>
    </w:p>
    <w:p w14:paraId="0853FEAE" w14:textId="77777777" w:rsidR="009D12C4" w:rsidRDefault="00EA44D2">
      <w:pPr>
        <w:spacing w:after="0" w:line="259" w:lineRule="auto"/>
        <w:ind w:left="0" w:right="0" w:firstLine="0"/>
        <w:jc w:val="left"/>
      </w:pPr>
      <w:r>
        <w:t xml:space="preserve"> </w:t>
      </w:r>
    </w:p>
    <w:p w14:paraId="0853FEAF" w14:textId="77777777" w:rsidR="009D12C4" w:rsidRDefault="00EA44D2">
      <w:pPr>
        <w:ind w:left="5" w:right="10"/>
      </w:pPr>
      <w:r>
        <w:t xml:space="preserve">2.2 Construction is currently taking place on part of the wider site. Public Footpath number 46 runs east from Leyland Lane along part of the southern boundary of the site boundary. This path joins Footpath 20 which runs north from Altcar Lane and continues north to meet with Shaw Brook Road. </w:t>
      </w:r>
    </w:p>
    <w:p w14:paraId="0853FEB0" w14:textId="77777777" w:rsidR="009D12C4" w:rsidRDefault="00EA44D2">
      <w:pPr>
        <w:spacing w:after="0" w:line="259" w:lineRule="auto"/>
        <w:ind w:left="0" w:right="0" w:firstLine="0"/>
        <w:jc w:val="left"/>
      </w:pPr>
      <w:r>
        <w:t xml:space="preserve"> </w:t>
      </w:r>
    </w:p>
    <w:p w14:paraId="0853FEB1" w14:textId="77777777" w:rsidR="009D12C4" w:rsidRDefault="00EA44D2">
      <w:pPr>
        <w:ind w:left="5" w:right="10"/>
      </w:pPr>
      <w:r>
        <w:t xml:space="preserve">2.3 There are two locally designated Biological Heritage Sites (BHS) in proximity to the application site: Shaw, Altcar and Ruin Woods BHS, is located on the eastern boundary and Brickfield Wood BHS, approximately 250m to the north of the site. </w:t>
      </w:r>
    </w:p>
    <w:p w14:paraId="0853FEB2" w14:textId="77777777" w:rsidR="009D12C4" w:rsidRDefault="00EA44D2">
      <w:pPr>
        <w:spacing w:after="0" w:line="259" w:lineRule="auto"/>
        <w:ind w:left="0" w:right="0" w:firstLine="0"/>
        <w:jc w:val="left"/>
      </w:pPr>
      <w:r>
        <w:rPr>
          <w:color w:val="FF0000"/>
        </w:rPr>
        <w:t xml:space="preserve"> </w:t>
      </w:r>
      <w:r>
        <w:rPr>
          <w:b/>
        </w:rPr>
        <w:t xml:space="preserve"> </w:t>
      </w:r>
    </w:p>
    <w:p w14:paraId="0853FEB3" w14:textId="77777777" w:rsidR="009D12C4" w:rsidRDefault="00EA44D2">
      <w:pPr>
        <w:pStyle w:val="Heading1"/>
        <w:ind w:left="-5"/>
      </w:pPr>
      <w:r>
        <w:t>3.0 Planning History</w:t>
      </w:r>
      <w:r>
        <w:rPr>
          <w:u w:val="none"/>
        </w:rPr>
        <w:t xml:space="preserve"> </w:t>
      </w:r>
    </w:p>
    <w:p w14:paraId="0853FEB4" w14:textId="77777777" w:rsidR="009D12C4" w:rsidRDefault="00EA44D2">
      <w:pPr>
        <w:spacing w:after="0" w:line="259" w:lineRule="auto"/>
        <w:ind w:left="0" w:right="0" w:firstLine="0"/>
        <w:jc w:val="left"/>
      </w:pPr>
      <w:r>
        <w:rPr>
          <w:b/>
          <w:color w:val="FF0000"/>
        </w:rPr>
        <w:t xml:space="preserve"> </w:t>
      </w:r>
    </w:p>
    <w:p w14:paraId="0853FEB5" w14:textId="77777777" w:rsidR="009D12C4" w:rsidRDefault="00EA44D2">
      <w:pPr>
        <w:spacing w:line="246" w:lineRule="auto"/>
        <w:ind w:left="-5" w:right="438"/>
        <w:jc w:val="left"/>
      </w:pPr>
      <w:r>
        <w:t xml:space="preserve">3.1 A Masterplan has been endorsed by the Planning Committee in March 2016 for up to 600 residential properties which included two access points one to the north to serve the Redrow Homes development and one to the south off Leyland Lane to serve the Homes and Community Agency (HCA). </w:t>
      </w:r>
    </w:p>
    <w:p w14:paraId="0853FEB6" w14:textId="77777777" w:rsidR="009D12C4" w:rsidRDefault="00EA44D2">
      <w:pPr>
        <w:spacing w:after="0" w:line="259" w:lineRule="auto"/>
        <w:ind w:left="0" w:right="0" w:firstLine="0"/>
        <w:jc w:val="left"/>
      </w:pPr>
      <w:r>
        <w:t xml:space="preserve"> </w:t>
      </w:r>
    </w:p>
    <w:p w14:paraId="0853FEB7" w14:textId="77777777" w:rsidR="009D12C4" w:rsidRDefault="00EA44D2">
      <w:pPr>
        <w:spacing w:line="246" w:lineRule="auto"/>
        <w:ind w:left="-5" w:right="8"/>
        <w:jc w:val="left"/>
      </w:pPr>
      <w:r>
        <w:t xml:space="preserve">3.2 Outline planning permission has been granted for the Redrow Homes application for up to 400 dwellings to be served from the northern access point (Ref:07/2016/0591/OUT). This application is subject to a Section 106 agreement which requires:  </w:t>
      </w:r>
    </w:p>
    <w:p w14:paraId="0853FEB8" w14:textId="77777777" w:rsidR="009D12C4" w:rsidRDefault="00EA44D2">
      <w:pPr>
        <w:spacing w:after="12" w:line="259" w:lineRule="auto"/>
        <w:ind w:left="0" w:right="0" w:firstLine="0"/>
        <w:jc w:val="left"/>
      </w:pPr>
      <w:r>
        <w:t xml:space="preserve"> </w:t>
      </w:r>
    </w:p>
    <w:p w14:paraId="0853FEB9" w14:textId="77777777" w:rsidR="00EF754A" w:rsidRDefault="00EA44D2">
      <w:pPr>
        <w:numPr>
          <w:ilvl w:val="0"/>
          <w:numId w:val="1"/>
        </w:numPr>
        <w:ind w:right="10" w:hanging="360"/>
      </w:pPr>
      <w:r>
        <w:lastRenderedPageBreak/>
        <w:t xml:space="preserve">Delivery and Financial Contribution to Worden Park of £123,000 </w:t>
      </w:r>
    </w:p>
    <w:p w14:paraId="0853FEBA" w14:textId="77777777" w:rsidR="009D12C4" w:rsidRDefault="00EA44D2">
      <w:pPr>
        <w:numPr>
          <w:ilvl w:val="0"/>
          <w:numId w:val="1"/>
        </w:numPr>
        <w:ind w:right="10" w:hanging="360"/>
      </w:pPr>
      <w:r>
        <w:t xml:space="preserve">Financial Contribution to the Travel Plan of £24,000 </w:t>
      </w:r>
    </w:p>
    <w:p w14:paraId="0853FEBB" w14:textId="77777777" w:rsidR="009D12C4" w:rsidRDefault="00EA44D2">
      <w:pPr>
        <w:numPr>
          <w:ilvl w:val="0"/>
          <w:numId w:val="1"/>
        </w:numPr>
        <w:ind w:right="10" w:hanging="360"/>
      </w:pPr>
      <w:r>
        <w:t xml:space="preserve">Affordable Housing:  </w:t>
      </w:r>
    </w:p>
    <w:p w14:paraId="0853FEBC" w14:textId="77777777" w:rsidR="009D12C4" w:rsidRDefault="00EA44D2">
      <w:pPr>
        <w:numPr>
          <w:ilvl w:val="0"/>
          <w:numId w:val="1"/>
        </w:numPr>
        <w:ind w:right="10" w:hanging="360"/>
      </w:pPr>
      <w:r>
        <w:t xml:space="preserve">10% Off site Housing Contribution  </w:t>
      </w:r>
    </w:p>
    <w:p w14:paraId="0853FEBD" w14:textId="77777777" w:rsidR="009D12C4" w:rsidRDefault="00EA44D2">
      <w:pPr>
        <w:numPr>
          <w:ilvl w:val="0"/>
          <w:numId w:val="1"/>
        </w:numPr>
        <w:ind w:right="10" w:hanging="360"/>
      </w:pPr>
      <w:r>
        <w:t xml:space="preserve">20% On site Affordable Housing  </w:t>
      </w:r>
    </w:p>
    <w:p w14:paraId="0853FEBE" w14:textId="77777777" w:rsidR="009D12C4" w:rsidRDefault="00EA44D2">
      <w:pPr>
        <w:numPr>
          <w:ilvl w:val="0"/>
          <w:numId w:val="1"/>
        </w:numPr>
        <w:ind w:right="10" w:hanging="360"/>
      </w:pPr>
      <w:r>
        <w:t xml:space="preserve">Management of Open Space  </w:t>
      </w:r>
    </w:p>
    <w:p w14:paraId="0853FEBF" w14:textId="77777777" w:rsidR="009D12C4" w:rsidRDefault="00EA44D2">
      <w:pPr>
        <w:spacing w:after="0" w:line="259" w:lineRule="auto"/>
        <w:ind w:left="0" w:right="0" w:firstLine="0"/>
        <w:jc w:val="left"/>
      </w:pPr>
      <w:r>
        <w:t xml:space="preserve"> </w:t>
      </w:r>
    </w:p>
    <w:p w14:paraId="0853FEC0" w14:textId="77777777" w:rsidR="009D12C4" w:rsidRDefault="00EA44D2" w:rsidP="00EA44D2">
      <w:pPr>
        <w:pStyle w:val="ListParagraph"/>
        <w:numPr>
          <w:ilvl w:val="1"/>
          <w:numId w:val="11"/>
        </w:numPr>
        <w:ind w:right="10"/>
      </w:pPr>
      <w:r>
        <w:t xml:space="preserve">A number of applications have been submitted for the details reserved by condition. </w:t>
      </w:r>
    </w:p>
    <w:p w14:paraId="0853FEC1" w14:textId="77777777" w:rsidR="009D12C4" w:rsidRDefault="00EA44D2">
      <w:pPr>
        <w:spacing w:after="0" w:line="259" w:lineRule="auto"/>
        <w:ind w:left="0" w:right="0" w:firstLine="0"/>
        <w:jc w:val="left"/>
      </w:pPr>
      <w:r>
        <w:t xml:space="preserve"> </w:t>
      </w:r>
    </w:p>
    <w:p w14:paraId="0853FEC2" w14:textId="77777777" w:rsidR="00EA44D2" w:rsidRDefault="00EA44D2" w:rsidP="00EA44D2">
      <w:pPr>
        <w:pStyle w:val="ListParagraph"/>
        <w:numPr>
          <w:ilvl w:val="1"/>
          <w:numId w:val="11"/>
        </w:numPr>
        <w:ind w:right="10"/>
      </w:pPr>
      <w:r>
        <w:t>07/2018/1674/REM Reserved Matters (appearance, landscaping, layout, and scale applied for) for a residential development of 232 dwellings at land near Shaw Brook Road. Approved July 2018.</w:t>
      </w:r>
    </w:p>
    <w:p w14:paraId="0853FEC3" w14:textId="77777777" w:rsidR="00EA44D2" w:rsidRDefault="00EA44D2" w:rsidP="00EA44D2">
      <w:pPr>
        <w:pStyle w:val="ListParagraph"/>
      </w:pPr>
    </w:p>
    <w:p w14:paraId="0853FEC4" w14:textId="77777777" w:rsidR="009D12C4" w:rsidRDefault="00EA44D2" w:rsidP="00EA44D2">
      <w:pPr>
        <w:pStyle w:val="ListParagraph"/>
        <w:numPr>
          <w:ilvl w:val="1"/>
          <w:numId w:val="11"/>
        </w:numPr>
        <w:ind w:right="10"/>
      </w:pPr>
      <w:r>
        <w:t xml:space="preserve"> 07/2019/0300/REM Reserved matters (appearance, landscaping, layout, and scale applied for a re-plan of 87 dwellings Approved January 2020.</w:t>
      </w:r>
    </w:p>
    <w:p w14:paraId="0853FEC5" w14:textId="77777777" w:rsidR="00EA44D2" w:rsidRDefault="00EA44D2" w:rsidP="00EA44D2">
      <w:pPr>
        <w:spacing w:after="0" w:line="259" w:lineRule="auto"/>
        <w:ind w:left="0" w:right="0" w:firstLine="0"/>
        <w:jc w:val="left"/>
      </w:pPr>
      <w:r>
        <w:t xml:space="preserve"> </w:t>
      </w:r>
    </w:p>
    <w:p w14:paraId="0853FEC6" w14:textId="77777777" w:rsidR="00454AE6" w:rsidRDefault="00454AE6" w:rsidP="00454AE6">
      <w:pPr>
        <w:pStyle w:val="ListParagraph"/>
      </w:pPr>
    </w:p>
    <w:p w14:paraId="0853FEC7" w14:textId="77777777" w:rsidR="009D12C4" w:rsidRDefault="00454AE6" w:rsidP="00CA20D2">
      <w:pPr>
        <w:pStyle w:val="ListParagraph"/>
        <w:numPr>
          <w:ilvl w:val="1"/>
          <w:numId w:val="11"/>
        </w:numPr>
        <w:spacing w:after="0" w:line="259" w:lineRule="auto"/>
        <w:ind w:right="0"/>
        <w:jc w:val="left"/>
      </w:pPr>
      <w:r>
        <w:t>07/2020/009</w:t>
      </w:r>
      <w:r w:rsidR="00CA20D2">
        <w:t>35</w:t>
      </w:r>
      <w:r>
        <w:t>/</w:t>
      </w:r>
      <w:r w:rsidR="00CA20D2">
        <w:t xml:space="preserve">REM </w:t>
      </w:r>
      <w:r w:rsidR="00CA20D2" w:rsidRPr="00CA20D2">
        <w:t>Application for Reserved Matters for residential development for 54 dwellings (Appearance, Landscaping, Layout and Scale) applied for 07/2016/0591/OUT</w:t>
      </w:r>
      <w:r w:rsidR="00A033F0">
        <w:t>.</w:t>
      </w:r>
    </w:p>
    <w:p w14:paraId="0853FEC8" w14:textId="77777777" w:rsidR="009D12C4" w:rsidRDefault="00EA44D2">
      <w:pPr>
        <w:spacing w:after="0" w:line="259" w:lineRule="auto"/>
        <w:ind w:left="0" w:right="0" w:firstLine="0"/>
        <w:jc w:val="left"/>
      </w:pPr>
      <w:r>
        <w:rPr>
          <w:b/>
        </w:rPr>
        <w:t xml:space="preserve"> </w:t>
      </w:r>
    </w:p>
    <w:p w14:paraId="0853FEC9" w14:textId="77777777" w:rsidR="009D12C4" w:rsidRDefault="00EA44D2">
      <w:pPr>
        <w:pStyle w:val="Heading1"/>
        <w:ind w:left="-5"/>
      </w:pPr>
      <w:r>
        <w:t>4.0 Proposal</w:t>
      </w:r>
      <w:r>
        <w:rPr>
          <w:u w:val="none"/>
        </w:rPr>
        <w:t xml:space="preserve"> </w:t>
      </w:r>
    </w:p>
    <w:p w14:paraId="0853FECA" w14:textId="77777777" w:rsidR="009D12C4" w:rsidRDefault="00EA44D2">
      <w:pPr>
        <w:spacing w:after="0" w:line="259" w:lineRule="auto"/>
        <w:ind w:left="0" w:right="0" w:firstLine="0"/>
        <w:jc w:val="left"/>
      </w:pPr>
      <w:r>
        <w:rPr>
          <w:b/>
        </w:rPr>
        <w:t xml:space="preserve"> </w:t>
      </w:r>
    </w:p>
    <w:p w14:paraId="0853FECB" w14:textId="77777777" w:rsidR="001F3F24" w:rsidRDefault="001F3F24">
      <w:pPr>
        <w:ind w:left="5" w:right="10"/>
      </w:pPr>
    </w:p>
    <w:p w14:paraId="0853FECC" w14:textId="77777777" w:rsidR="00197746" w:rsidRPr="00197746" w:rsidRDefault="00D16727" w:rsidP="00197746">
      <w:pPr>
        <w:spacing w:after="160" w:line="259" w:lineRule="auto"/>
        <w:ind w:left="0" w:right="0" w:firstLine="0"/>
        <w:jc w:val="left"/>
        <w:rPr>
          <w:bCs/>
        </w:rPr>
      </w:pPr>
      <w:r>
        <w:rPr>
          <w:rFonts w:eastAsiaTheme="minorHAnsi"/>
          <w:color w:val="auto"/>
          <w:lang w:eastAsia="en-US"/>
        </w:rPr>
        <w:t xml:space="preserve">4.1 </w:t>
      </w:r>
      <w:r w:rsidR="00244FBD" w:rsidRPr="008F7DF2">
        <w:rPr>
          <w:rFonts w:eastAsiaTheme="minorHAnsi"/>
          <w:color w:val="auto"/>
          <w:lang w:eastAsia="en-US"/>
        </w:rPr>
        <w:t xml:space="preserve">To vary the </w:t>
      </w:r>
      <w:r w:rsidR="008F7DF2">
        <w:rPr>
          <w:rFonts w:eastAsiaTheme="minorHAnsi"/>
          <w:color w:val="auto"/>
          <w:lang w:eastAsia="en-US"/>
        </w:rPr>
        <w:t>S</w:t>
      </w:r>
      <w:r w:rsidR="00244FBD" w:rsidRPr="008F7DF2">
        <w:rPr>
          <w:rFonts w:eastAsiaTheme="minorHAnsi"/>
          <w:color w:val="auto"/>
          <w:lang w:eastAsia="en-US"/>
        </w:rPr>
        <w:t xml:space="preserve">ection 106 </w:t>
      </w:r>
      <w:r w:rsidR="008F7DF2" w:rsidRPr="008F7DF2">
        <w:rPr>
          <w:bCs/>
        </w:rPr>
        <w:t xml:space="preserve">Agreement dated 20 September 2017 to </w:t>
      </w:r>
      <w:r w:rsidR="00197746">
        <w:rPr>
          <w:bCs/>
        </w:rPr>
        <w:t xml:space="preserve">bring forward the payment of </w:t>
      </w:r>
      <w:r w:rsidR="008F7DF2" w:rsidRPr="008F7DF2">
        <w:rPr>
          <w:bCs/>
        </w:rPr>
        <w:t>a commuted sum instead of the 20%</w:t>
      </w:r>
      <w:r w:rsidR="00197746" w:rsidRPr="00197746">
        <w:rPr>
          <w:bCs/>
        </w:rPr>
        <w:t xml:space="preserve"> discounted open market value (DOMV) units</w:t>
      </w:r>
      <w:r w:rsidR="00197746">
        <w:rPr>
          <w:bCs/>
        </w:rPr>
        <w:t xml:space="preserve"> to be delivered in site. </w:t>
      </w:r>
      <w:r w:rsidR="00197746" w:rsidRPr="00197746">
        <w:rPr>
          <w:bCs/>
        </w:rPr>
        <w:t xml:space="preserve"> </w:t>
      </w:r>
    </w:p>
    <w:p w14:paraId="0853FECD" w14:textId="77777777" w:rsidR="000C32E3" w:rsidRDefault="00D16727" w:rsidP="000C32E3">
      <w:pPr>
        <w:pStyle w:val="Heading3"/>
        <w:ind w:left="-5"/>
      </w:pPr>
      <w:r>
        <w:t>5</w:t>
      </w:r>
      <w:r w:rsidR="000C32E3">
        <w:t>.0 Material Considerations</w:t>
      </w:r>
      <w:r w:rsidR="000C32E3">
        <w:rPr>
          <w:u w:val="none"/>
        </w:rPr>
        <w:t xml:space="preserve"> </w:t>
      </w:r>
    </w:p>
    <w:p w14:paraId="0853FECE" w14:textId="77777777" w:rsidR="00244FBD" w:rsidRPr="00D11DF1" w:rsidRDefault="00244FBD" w:rsidP="00E0499A">
      <w:pPr>
        <w:spacing w:after="160" w:line="259" w:lineRule="auto"/>
        <w:ind w:left="0" w:right="0" w:firstLine="0"/>
        <w:jc w:val="left"/>
        <w:rPr>
          <w:rFonts w:eastAsiaTheme="minorHAnsi"/>
          <w:color w:val="auto"/>
          <w:lang w:eastAsia="en-US"/>
        </w:rPr>
      </w:pPr>
    </w:p>
    <w:p w14:paraId="0853FECF" w14:textId="77777777" w:rsidR="00E0499A" w:rsidRPr="00D11DF1" w:rsidRDefault="00D16727" w:rsidP="00E0499A">
      <w:pPr>
        <w:spacing w:after="160" w:line="259" w:lineRule="auto"/>
        <w:ind w:left="0" w:right="0" w:firstLine="0"/>
        <w:jc w:val="left"/>
        <w:rPr>
          <w:rFonts w:eastAsiaTheme="minorHAnsi"/>
          <w:color w:val="auto"/>
          <w:lang w:eastAsia="en-US"/>
        </w:rPr>
      </w:pPr>
      <w:r w:rsidRPr="00D11DF1">
        <w:rPr>
          <w:rFonts w:eastAsiaTheme="minorHAnsi"/>
          <w:color w:val="auto"/>
          <w:lang w:eastAsia="en-US"/>
        </w:rPr>
        <w:t xml:space="preserve">5.1 </w:t>
      </w:r>
      <w:r w:rsidR="00E0499A" w:rsidRPr="00D11DF1">
        <w:rPr>
          <w:rFonts w:eastAsiaTheme="minorHAnsi"/>
          <w:color w:val="auto"/>
          <w:lang w:eastAsia="en-US"/>
        </w:rPr>
        <w:t xml:space="preserve">The South </w:t>
      </w:r>
      <w:proofErr w:type="spellStart"/>
      <w:r w:rsidR="00E0499A" w:rsidRPr="00D11DF1">
        <w:rPr>
          <w:rFonts w:eastAsiaTheme="minorHAnsi"/>
          <w:color w:val="auto"/>
          <w:lang w:eastAsia="en-US"/>
        </w:rPr>
        <w:t>Ribble</w:t>
      </w:r>
      <w:proofErr w:type="spellEnd"/>
      <w:r w:rsidR="00E0499A" w:rsidRPr="00D11DF1">
        <w:rPr>
          <w:rFonts w:eastAsiaTheme="minorHAnsi"/>
          <w:color w:val="auto"/>
          <w:lang w:eastAsia="en-US"/>
        </w:rPr>
        <w:t xml:space="preserve"> Affordable Housing Supplementary Planning Document (SPD)requires 30% of dwelling to be affordable units.  </w:t>
      </w:r>
      <w:r w:rsidR="00E0499A" w:rsidRPr="00D11DF1">
        <w:rPr>
          <w:rFonts w:eastAsiaTheme="minorHAnsi"/>
          <w:bCs/>
          <w:color w:val="auto"/>
          <w:lang w:eastAsia="en-US"/>
        </w:rPr>
        <w:t xml:space="preserve"> </w:t>
      </w:r>
      <w:r w:rsidR="00E0499A" w:rsidRPr="00D11DF1">
        <w:rPr>
          <w:rFonts w:eastAsiaTheme="minorHAnsi"/>
          <w:color w:val="auto"/>
          <w:lang w:eastAsia="en-US"/>
        </w:rPr>
        <w:t xml:space="preserve">In September 2017 planning permission was granted for the provision of 400 dwellings of which 20% of the Affordable Housing would be sold as either Discounted Market Units or Starter Homes. In both cases the homes would be sold at an affordable price which is 80% of the Open Market Value.  A commuted sum would be paid to SRBC in lieu of the final 10% of units. </w:t>
      </w:r>
    </w:p>
    <w:p w14:paraId="0853FED0" w14:textId="77777777" w:rsidR="00E0499A" w:rsidRPr="00D11DF1" w:rsidRDefault="00D16727" w:rsidP="00E0499A">
      <w:pPr>
        <w:spacing w:after="160" w:line="259" w:lineRule="auto"/>
        <w:ind w:left="0" w:right="0" w:firstLine="0"/>
        <w:jc w:val="left"/>
        <w:rPr>
          <w:rFonts w:eastAsiaTheme="minorHAnsi"/>
          <w:color w:val="auto"/>
          <w:lang w:eastAsia="en-US"/>
        </w:rPr>
      </w:pPr>
      <w:r w:rsidRPr="00D11DF1">
        <w:rPr>
          <w:rFonts w:eastAsiaTheme="minorHAnsi"/>
          <w:color w:val="auto"/>
          <w:lang w:eastAsia="en-US"/>
        </w:rPr>
        <w:t xml:space="preserve">5.2 </w:t>
      </w:r>
      <w:r w:rsidR="00E0499A" w:rsidRPr="00D11DF1">
        <w:rPr>
          <w:rFonts w:eastAsiaTheme="minorHAnsi"/>
          <w:color w:val="auto"/>
          <w:lang w:eastAsia="en-US"/>
        </w:rPr>
        <w:t>Due to the failure of the Starter Homes initiative, Redrow Homes have progressed on the basis that the Affordable Housing was to be disposed of as Discount Market Units in accordance with the terms of the Section 106</w:t>
      </w:r>
      <w:r w:rsidR="002D5939" w:rsidRPr="00D11DF1">
        <w:rPr>
          <w:rFonts w:eastAsiaTheme="minorHAnsi"/>
          <w:color w:val="auto"/>
          <w:lang w:eastAsia="en-US"/>
        </w:rPr>
        <w:t>.</w:t>
      </w:r>
    </w:p>
    <w:p w14:paraId="0853FED1" w14:textId="77777777" w:rsidR="00E0499A" w:rsidRPr="00D11DF1" w:rsidRDefault="00D16727" w:rsidP="00E0499A">
      <w:pPr>
        <w:spacing w:after="160" w:line="259" w:lineRule="auto"/>
        <w:ind w:left="0" w:right="0" w:firstLine="0"/>
        <w:jc w:val="left"/>
        <w:rPr>
          <w:rFonts w:eastAsiaTheme="minorHAnsi"/>
          <w:color w:val="auto"/>
          <w:lang w:eastAsia="en-US"/>
        </w:rPr>
      </w:pPr>
      <w:r w:rsidRPr="00D11DF1">
        <w:rPr>
          <w:rFonts w:eastAsiaTheme="minorHAnsi"/>
          <w:color w:val="auto"/>
          <w:lang w:eastAsia="en-US"/>
        </w:rPr>
        <w:t xml:space="preserve">5.3 </w:t>
      </w:r>
      <w:r w:rsidR="00E0499A" w:rsidRPr="00D11DF1">
        <w:rPr>
          <w:rFonts w:eastAsiaTheme="minorHAnsi"/>
          <w:color w:val="auto"/>
          <w:lang w:eastAsia="en-US"/>
        </w:rPr>
        <w:t xml:space="preserve">The applicant has recently advised that: Following the onset of the Covid-19 pandemic, Redrow became aware of recent changes to lender requirements in respect of offering mortgages for this tenure type. Specifically, through our discussions with mortgage advisors RCS, we understand that the only mortgages currently being offered for this tenure type are those with a 15%+ deposit. This level of deposit tends to be unaffordable to many prospective purchasers, especially where account is taken for fact that these are a proposed Affordable Housing tenure. Unlike other market changes which have proved temporary, this requirement in relation to Discount Market Units remains in place, raising serious questions as to the saleability and affordability of the affordable housing tenure.   </w:t>
      </w:r>
    </w:p>
    <w:p w14:paraId="0853FED2" w14:textId="77777777" w:rsidR="00E0499A" w:rsidRPr="00D11DF1" w:rsidRDefault="00D16727" w:rsidP="00E0499A">
      <w:pPr>
        <w:spacing w:after="160" w:line="259" w:lineRule="auto"/>
        <w:ind w:left="0" w:right="0" w:firstLine="0"/>
        <w:jc w:val="left"/>
        <w:rPr>
          <w:rFonts w:eastAsiaTheme="minorHAnsi"/>
          <w:color w:val="auto"/>
          <w:lang w:eastAsia="en-US"/>
        </w:rPr>
      </w:pPr>
      <w:r w:rsidRPr="00D11DF1">
        <w:rPr>
          <w:rFonts w:eastAsiaTheme="minorHAnsi"/>
          <w:color w:val="auto"/>
          <w:lang w:eastAsia="en-US"/>
        </w:rPr>
        <w:t xml:space="preserve">5.4 </w:t>
      </w:r>
      <w:r w:rsidR="00E0499A" w:rsidRPr="00D11DF1">
        <w:rPr>
          <w:rFonts w:eastAsiaTheme="minorHAnsi"/>
          <w:color w:val="auto"/>
          <w:lang w:eastAsia="en-US"/>
        </w:rPr>
        <w:t xml:space="preserve">A comparison table has been provided comparing a purchaser buying a £200,000 house under the Discounted Market model, alongside Help to Buy (where the purchasers benefit from </w:t>
      </w:r>
      <w:proofErr w:type="gramStart"/>
      <w:r w:rsidR="00E0499A" w:rsidRPr="00D11DF1">
        <w:rPr>
          <w:rFonts w:eastAsiaTheme="minorHAnsi"/>
          <w:color w:val="auto"/>
          <w:lang w:eastAsia="en-US"/>
        </w:rPr>
        <w:t>a</w:t>
      </w:r>
      <w:proofErr w:type="gramEnd"/>
      <w:r w:rsidR="00E0499A" w:rsidRPr="00D11DF1">
        <w:rPr>
          <w:rFonts w:eastAsiaTheme="minorHAnsi"/>
          <w:color w:val="auto"/>
          <w:lang w:eastAsia="en-US"/>
        </w:rPr>
        <w:t xml:space="preserve"> LTV of 75% with a 5% deposit). </w:t>
      </w:r>
    </w:p>
    <w:p w14:paraId="0853FED3" w14:textId="77777777" w:rsidR="00E0499A" w:rsidRPr="00D11DF1" w:rsidRDefault="00D16727" w:rsidP="00E0499A">
      <w:pPr>
        <w:spacing w:after="160" w:line="259" w:lineRule="auto"/>
        <w:ind w:left="0" w:right="0" w:firstLine="0"/>
        <w:jc w:val="left"/>
        <w:rPr>
          <w:rFonts w:eastAsiaTheme="minorHAnsi"/>
          <w:color w:val="auto"/>
          <w:lang w:eastAsia="en-US"/>
        </w:rPr>
      </w:pPr>
      <w:proofErr w:type="gramStart"/>
      <w:r w:rsidRPr="00D11DF1">
        <w:rPr>
          <w:rFonts w:eastAsiaTheme="minorHAnsi"/>
          <w:color w:val="auto"/>
          <w:lang w:eastAsia="en-US"/>
        </w:rPr>
        <w:lastRenderedPageBreak/>
        <w:t xml:space="preserve">5.5 </w:t>
      </w:r>
      <w:r w:rsidR="001B5B16">
        <w:rPr>
          <w:rFonts w:eastAsiaTheme="minorHAnsi"/>
          <w:color w:val="auto"/>
          <w:lang w:eastAsia="en-US"/>
        </w:rPr>
        <w:t xml:space="preserve"> </w:t>
      </w:r>
      <w:r w:rsidR="00E0499A" w:rsidRPr="00D11DF1">
        <w:rPr>
          <w:rFonts w:eastAsiaTheme="minorHAnsi"/>
          <w:color w:val="auto"/>
          <w:lang w:eastAsia="en-US"/>
        </w:rPr>
        <w:t>As</w:t>
      </w:r>
      <w:proofErr w:type="gramEnd"/>
      <w:r w:rsidR="00E0499A" w:rsidRPr="00D11DF1">
        <w:rPr>
          <w:rFonts w:eastAsiaTheme="minorHAnsi"/>
          <w:color w:val="auto"/>
          <w:lang w:eastAsia="en-US"/>
        </w:rPr>
        <w:t xml:space="preserve"> can be seen from the table below, not only does the Help to Buy purchaser pay less than half of the deposit, they also end up paying less per month in mortgage payments</w:t>
      </w:r>
      <w:r w:rsidR="002D5939" w:rsidRPr="00D11DF1">
        <w:rPr>
          <w:rFonts w:eastAsiaTheme="minorHAnsi"/>
          <w:color w:val="auto"/>
          <w:lang w:eastAsia="en-US"/>
        </w:rPr>
        <w:t xml:space="preserve">. </w:t>
      </w:r>
      <w:r w:rsidR="00E0499A" w:rsidRPr="00D11DF1">
        <w:rPr>
          <w:rFonts w:eastAsiaTheme="minorHAnsi"/>
          <w:color w:val="auto"/>
          <w:lang w:eastAsia="en-US"/>
        </w:rPr>
        <w:t xml:space="preserve"> This significantly undermines the status of the Discounted Market Units as ‘Affordable Housing’, with a Help to Buy purchase of the same property on the open market being more affordable in most cases. As well as affordability, the purchaser of the property using Help to Buy would also benefit from being able to sell at 100% of MV, without the eligibility criteria stated in the Section 106. This raises a concern for the applicant in finding suitable purchasers for the properties, as well as potentially leaving any purchasers in a position where an acquisition on the open market would be more</w:t>
      </w:r>
      <w:r w:rsidR="002D5939" w:rsidRPr="00D11DF1">
        <w:rPr>
          <w:rFonts w:eastAsiaTheme="minorHAnsi"/>
          <w:color w:val="auto"/>
          <w:lang w:eastAsia="en-US"/>
        </w:rPr>
        <w:t xml:space="preserve"> </w:t>
      </w:r>
      <w:r w:rsidR="002D5939" w:rsidRPr="002D5939">
        <w:rPr>
          <w:rFonts w:eastAsiaTheme="minorHAnsi"/>
          <w:color w:val="auto"/>
          <w:lang w:eastAsia="en-US"/>
        </w:rPr>
        <w:t xml:space="preserve">affordable.  </w:t>
      </w:r>
    </w:p>
    <w:p w14:paraId="0853FED4" w14:textId="77777777" w:rsidR="00533811" w:rsidRDefault="00533811">
      <w:pPr>
        <w:ind w:left="5" w:right="10"/>
      </w:pPr>
    </w:p>
    <w:p w14:paraId="0853FED5" w14:textId="77777777" w:rsidR="00B65084" w:rsidRDefault="00B65084">
      <w:pPr>
        <w:spacing w:after="0" w:line="259" w:lineRule="auto"/>
        <w:ind w:left="0" w:right="0" w:firstLine="0"/>
        <w:jc w:val="left"/>
        <w:rPr>
          <w:color w:val="FF0000"/>
        </w:rPr>
      </w:pPr>
    </w:p>
    <w:tbl>
      <w:tblPr>
        <w:tblStyle w:val="TableGrid0"/>
        <w:tblW w:w="9140" w:type="dxa"/>
        <w:tblLook w:val="04A0" w:firstRow="1" w:lastRow="0" w:firstColumn="1" w:lastColumn="0" w:noHBand="0" w:noVBand="1"/>
      </w:tblPr>
      <w:tblGrid>
        <w:gridCol w:w="3826"/>
        <w:gridCol w:w="2779"/>
        <w:gridCol w:w="2535"/>
      </w:tblGrid>
      <w:tr w:rsidR="002D5939" w:rsidRPr="002D5939" w14:paraId="0853FED9" w14:textId="77777777" w:rsidTr="00065C75">
        <w:trPr>
          <w:trHeight w:val="315"/>
        </w:trPr>
        <w:tc>
          <w:tcPr>
            <w:tcW w:w="3826" w:type="dxa"/>
            <w:tcBorders>
              <w:top w:val="nil"/>
              <w:left w:val="nil"/>
            </w:tcBorders>
          </w:tcPr>
          <w:p w14:paraId="0853FED6"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p>
        </w:tc>
        <w:tc>
          <w:tcPr>
            <w:tcW w:w="2779" w:type="dxa"/>
          </w:tcPr>
          <w:p w14:paraId="0853FED7"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b/>
                <w:color w:val="auto"/>
                <w:lang w:eastAsia="en-US"/>
              </w:rPr>
            </w:pPr>
            <w:r w:rsidRPr="002D5939">
              <w:rPr>
                <w:rFonts w:asciiTheme="minorHAnsi" w:eastAsiaTheme="minorHAnsi" w:hAnsiTheme="minorHAnsi" w:cstheme="minorBidi"/>
                <w:b/>
                <w:color w:val="auto"/>
                <w:lang w:eastAsia="en-US"/>
              </w:rPr>
              <w:t>Discount Market</w:t>
            </w:r>
          </w:p>
        </w:tc>
        <w:tc>
          <w:tcPr>
            <w:tcW w:w="2535" w:type="dxa"/>
          </w:tcPr>
          <w:p w14:paraId="0853FED8"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b/>
                <w:color w:val="auto"/>
                <w:lang w:eastAsia="en-US"/>
              </w:rPr>
            </w:pPr>
            <w:r w:rsidRPr="002D5939">
              <w:rPr>
                <w:rFonts w:asciiTheme="minorHAnsi" w:eastAsiaTheme="minorHAnsi" w:hAnsiTheme="minorHAnsi" w:cstheme="minorBidi"/>
                <w:b/>
                <w:color w:val="auto"/>
                <w:lang w:eastAsia="en-US"/>
              </w:rPr>
              <w:t>Help to Buy</w:t>
            </w:r>
          </w:p>
        </w:tc>
      </w:tr>
      <w:tr w:rsidR="002D5939" w:rsidRPr="002D5939" w14:paraId="0853FEDC" w14:textId="77777777" w:rsidTr="00065C75">
        <w:trPr>
          <w:trHeight w:val="334"/>
        </w:trPr>
        <w:tc>
          <w:tcPr>
            <w:tcW w:w="3826" w:type="dxa"/>
          </w:tcPr>
          <w:p w14:paraId="0853FEDA"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Market Value</w:t>
            </w:r>
          </w:p>
        </w:tc>
        <w:tc>
          <w:tcPr>
            <w:tcW w:w="5314" w:type="dxa"/>
            <w:gridSpan w:val="2"/>
          </w:tcPr>
          <w:p w14:paraId="0853FEDB"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£200,000</w:t>
            </w:r>
          </w:p>
        </w:tc>
      </w:tr>
      <w:tr w:rsidR="002D5939" w:rsidRPr="002D5939" w14:paraId="0853FEE0" w14:textId="77777777" w:rsidTr="00065C75">
        <w:trPr>
          <w:trHeight w:val="315"/>
        </w:trPr>
        <w:tc>
          <w:tcPr>
            <w:tcW w:w="3826" w:type="dxa"/>
          </w:tcPr>
          <w:p w14:paraId="0853FEDD"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Purchase Price</w:t>
            </w:r>
          </w:p>
        </w:tc>
        <w:tc>
          <w:tcPr>
            <w:tcW w:w="2779" w:type="dxa"/>
          </w:tcPr>
          <w:p w14:paraId="0853FEDE"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£160,000</w:t>
            </w:r>
          </w:p>
        </w:tc>
        <w:tc>
          <w:tcPr>
            <w:tcW w:w="2535" w:type="dxa"/>
          </w:tcPr>
          <w:p w14:paraId="0853FEDF"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£200,000</w:t>
            </w:r>
          </w:p>
        </w:tc>
      </w:tr>
      <w:tr w:rsidR="002D5939" w:rsidRPr="002D5939" w14:paraId="0853FEE4" w14:textId="77777777" w:rsidTr="00065C75">
        <w:trPr>
          <w:trHeight w:val="315"/>
        </w:trPr>
        <w:tc>
          <w:tcPr>
            <w:tcW w:w="3826" w:type="dxa"/>
          </w:tcPr>
          <w:p w14:paraId="0853FEE1"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Buyer Deposit</w:t>
            </w:r>
          </w:p>
        </w:tc>
        <w:tc>
          <w:tcPr>
            <w:tcW w:w="2779" w:type="dxa"/>
          </w:tcPr>
          <w:p w14:paraId="0853FEE2"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£24,000 (15%)</w:t>
            </w:r>
          </w:p>
        </w:tc>
        <w:tc>
          <w:tcPr>
            <w:tcW w:w="2535" w:type="dxa"/>
          </w:tcPr>
          <w:p w14:paraId="0853FEE3"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£10,000 (5%)</w:t>
            </w:r>
          </w:p>
        </w:tc>
      </w:tr>
      <w:tr w:rsidR="002D5939" w:rsidRPr="002D5939" w14:paraId="0853FEE8" w14:textId="77777777" w:rsidTr="00065C75">
        <w:trPr>
          <w:trHeight w:val="334"/>
        </w:trPr>
        <w:tc>
          <w:tcPr>
            <w:tcW w:w="3826" w:type="dxa"/>
          </w:tcPr>
          <w:p w14:paraId="0853FEE5"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Help to Buy Loan</w:t>
            </w:r>
          </w:p>
        </w:tc>
        <w:tc>
          <w:tcPr>
            <w:tcW w:w="2779" w:type="dxa"/>
          </w:tcPr>
          <w:p w14:paraId="0853FEE6"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w:t>
            </w:r>
          </w:p>
        </w:tc>
        <w:tc>
          <w:tcPr>
            <w:tcW w:w="2535" w:type="dxa"/>
          </w:tcPr>
          <w:p w14:paraId="0853FEE7"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£40,000</w:t>
            </w:r>
          </w:p>
        </w:tc>
      </w:tr>
      <w:tr w:rsidR="002D5939" w:rsidRPr="002D5939" w14:paraId="0853FEEC" w14:textId="77777777" w:rsidTr="00065C75">
        <w:trPr>
          <w:trHeight w:val="315"/>
        </w:trPr>
        <w:tc>
          <w:tcPr>
            <w:tcW w:w="3826" w:type="dxa"/>
          </w:tcPr>
          <w:p w14:paraId="0853FEE9"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LTV</w:t>
            </w:r>
          </w:p>
        </w:tc>
        <w:tc>
          <w:tcPr>
            <w:tcW w:w="2779" w:type="dxa"/>
          </w:tcPr>
          <w:p w14:paraId="0853FEEA"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85%</w:t>
            </w:r>
          </w:p>
        </w:tc>
        <w:tc>
          <w:tcPr>
            <w:tcW w:w="2535" w:type="dxa"/>
          </w:tcPr>
          <w:p w14:paraId="0853FEEB"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 xml:space="preserve">75% </w:t>
            </w:r>
          </w:p>
        </w:tc>
      </w:tr>
      <w:tr w:rsidR="002D5939" w:rsidRPr="002D5939" w14:paraId="0853FEF0" w14:textId="77777777" w:rsidTr="00065C75">
        <w:trPr>
          <w:trHeight w:val="649"/>
        </w:trPr>
        <w:tc>
          <w:tcPr>
            <w:tcW w:w="3826" w:type="dxa"/>
          </w:tcPr>
          <w:p w14:paraId="0853FEED"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Mortgage Rate</w:t>
            </w:r>
          </w:p>
        </w:tc>
        <w:tc>
          <w:tcPr>
            <w:tcW w:w="2779" w:type="dxa"/>
          </w:tcPr>
          <w:p w14:paraId="0853FEEE"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2.75% (Barclays DMV via RCS)</w:t>
            </w:r>
          </w:p>
        </w:tc>
        <w:tc>
          <w:tcPr>
            <w:tcW w:w="2535" w:type="dxa"/>
          </w:tcPr>
          <w:p w14:paraId="0853FEEF"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1.59% (Barclays website)</w:t>
            </w:r>
          </w:p>
        </w:tc>
      </w:tr>
      <w:tr w:rsidR="002D5939" w:rsidRPr="002D5939" w14:paraId="0853FEF4" w14:textId="77777777" w:rsidTr="00065C75">
        <w:trPr>
          <w:trHeight w:val="334"/>
        </w:trPr>
        <w:tc>
          <w:tcPr>
            <w:tcW w:w="3826" w:type="dxa"/>
          </w:tcPr>
          <w:p w14:paraId="0853FEF1"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Mortgage Amount</w:t>
            </w:r>
          </w:p>
        </w:tc>
        <w:tc>
          <w:tcPr>
            <w:tcW w:w="2779" w:type="dxa"/>
          </w:tcPr>
          <w:p w14:paraId="0853FEF2"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£136,000</w:t>
            </w:r>
          </w:p>
        </w:tc>
        <w:tc>
          <w:tcPr>
            <w:tcW w:w="2535" w:type="dxa"/>
          </w:tcPr>
          <w:p w14:paraId="0853FEF3"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£150,000</w:t>
            </w:r>
          </w:p>
        </w:tc>
      </w:tr>
      <w:tr w:rsidR="002D5939" w:rsidRPr="002D5939" w14:paraId="0853FEF8" w14:textId="77777777" w:rsidTr="00065C75">
        <w:trPr>
          <w:trHeight w:val="649"/>
        </w:trPr>
        <w:tc>
          <w:tcPr>
            <w:tcW w:w="3826" w:type="dxa"/>
          </w:tcPr>
          <w:p w14:paraId="0853FEF5"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 xml:space="preserve">Monthly Payments (assuming </w:t>
            </w:r>
            <w:proofErr w:type="gramStart"/>
            <w:r w:rsidRPr="002D5939">
              <w:rPr>
                <w:rFonts w:asciiTheme="minorHAnsi" w:eastAsiaTheme="minorHAnsi" w:hAnsiTheme="minorHAnsi" w:cstheme="minorBidi"/>
                <w:color w:val="auto"/>
                <w:lang w:eastAsia="en-US"/>
              </w:rPr>
              <w:t>25 year</w:t>
            </w:r>
            <w:proofErr w:type="gramEnd"/>
            <w:r w:rsidRPr="002D5939">
              <w:rPr>
                <w:rFonts w:asciiTheme="minorHAnsi" w:eastAsiaTheme="minorHAnsi" w:hAnsiTheme="minorHAnsi" w:cstheme="minorBidi"/>
                <w:color w:val="auto"/>
                <w:lang w:eastAsia="en-US"/>
              </w:rPr>
              <w:t xml:space="preserve"> term)</w:t>
            </w:r>
          </w:p>
        </w:tc>
        <w:tc>
          <w:tcPr>
            <w:tcW w:w="2779" w:type="dxa"/>
          </w:tcPr>
          <w:p w14:paraId="0853FEF6"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£627</w:t>
            </w:r>
          </w:p>
        </w:tc>
        <w:tc>
          <w:tcPr>
            <w:tcW w:w="2535" w:type="dxa"/>
          </w:tcPr>
          <w:p w14:paraId="0853FEF7"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£606</w:t>
            </w:r>
          </w:p>
        </w:tc>
      </w:tr>
      <w:tr w:rsidR="002D5939" w:rsidRPr="002D5939" w14:paraId="0853FEFC" w14:textId="77777777" w:rsidTr="00065C75">
        <w:trPr>
          <w:trHeight w:val="315"/>
        </w:trPr>
        <w:tc>
          <w:tcPr>
            <w:tcW w:w="3826" w:type="dxa"/>
          </w:tcPr>
          <w:p w14:paraId="0853FEF9"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Resale %</w:t>
            </w:r>
          </w:p>
        </w:tc>
        <w:tc>
          <w:tcPr>
            <w:tcW w:w="2779" w:type="dxa"/>
          </w:tcPr>
          <w:p w14:paraId="0853FEFA"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80%</w:t>
            </w:r>
          </w:p>
        </w:tc>
        <w:tc>
          <w:tcPr>
            <w:tcW w:w="2535" w:type="dxa"/>
          </w:tcPr>
          <w:p w14:paraId="0853FEFB"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r w:rsidRPr="002D5939">
              <w:rPr>
                <w:rFonts w:asciiTheme="minorHAnsi" w:eastAsiaTheme="minorHAnsi" w:hAnsiTheme="minorHAnsi" w:cstheme="minorBidi"/>
                <w:color w:val="auto"/>
                <w:lang w:eastAsia="en-US"/>
              </w:rPr>
              <w:t>100%</w:t>
            </w:r>
          </w:p>
        </w:tc>
      </w:tr>
    </w:tbl>
    <w:p w14:paraId="0853FEFD" w14:textId="77777777" w:rsidR="002D5939" w:rsidRPr="002D5939" w:rsidRDefault="002D5939" w:rsidP="002D5939">
      <w:pPr>
        <w:spacing w:after="160" w:line="259" w:lineRule="auto"/>
        <w:ind w:left="720" w:right="0" w:firstLine="0"/>
        <w:jc w:val="left"/>
        <w:rPr>
          <w:rFonts w:asciiTheme="minorHAnsi" w:eastAsiaTheme="minorHAnsi" w:hAnsiTheme="minorHAnsi" w:cstheme="minorBidi"/>
          <w:color w:val="auto"/>
          <w:lang w:eastAsia="en-US"/>
        </w:rPr>
      </w:pPr>
    </w:p>
    <w:p w14:paraId="0853FEFE" w14:textId="77777777" w:rsidR="002D5939" w:rsidRDefault="00D16727" w:rsidP="002D5939">
      <w:pPr>
        <w:spacing w:after="0" w:line="240" w:lineRule="auto"/>
        <w:ind w:left="0" w:right="0" w:firstLine="0"/>
        <w:rPr>
          <w:color w:val="FF0000"/>
        </w:rPr>
      </w:pPr>
      <w:r>
        <w:t xml:space="preserve">5.6 </w:t>
      </w:r>
      <w:r w:rsidR="002D5939">
        <w:t xml:space="preserve">The above information has been sense checked by the Council’s Viability Consultants who have agreed in principle to the findings. They have recommended some caveats to be put in place with regard to the timing and calculation of the off-site commuted sum which have been agreed by the applicant. </w:t>
      </w:r>
      <w:r w:rsidR="002D5939" w:rsidRPr="00B82DC1">
        <w:t xml:space="preserve">These changes ensure that </w:t>
      </w:r>
      <w:r w:rsidR="002D5939">
        <w:t>any</w:t>
      </w:r>
      <w:r w:rsidR="002D5939" w:rsidRPr="00B82DC1">
        <w:t xml:space="preserve"> off</w:t>
      </w:r>
      <w:r w:rsidR="002D5939">
        <w:t>-</w:t>
      </w:r>
      <w:r w:rsidR="002D5939" w:rsidRPr="00B82DC1">
        <w:t xml:space="preserve">site commuted sum is based upon the </w:t>
      </w:r>
      <w:r w:rsidR="002D5939">
        <w:t xml:space="preserve">most recent </w:t>
      </w:r>
      <w:r w:rsidR="002D5939" w:rsidRPr="00B82DC1">
        <w:t>Land Registry prices which is a transparent and fair way to calculate such a sum</w:t>
      </w:r>
      <w:r w:rsidR="002D5939" w:rsidRPr="002D5939">
        <w:rPr>
          <w:color w:val="FF0000"/>
        </w:rPr>
        <w:t>.</w:t>
      </w:r>
    </w:p>
    <w:p w14:paraId="0853FEFF" w14:textId="77777777" w:rsidR="002D5939" w:rsidRDefault="002D5939" w:rsidP="002D5939">
      <w:pPr>
        <w:spacing w:after="0" w:line="240" w:lineRule="auto"/>
        <w:ind w:left="0" w:right="0" w:firstLine="0"/>
        <w:rPr>
          <w:color w:val="FF0000"/>
        </w:rPr>
      </w:pPr>
    </w:p>
    <w:p w14:paraId="0853FF00" w14:textId="77777777" w:rsidR="00B65084" w:rsidRDefault="00D16727" w:rsidP="002D5939">
      <w:pPr>
        <w:spacing w:after="0" w:line="240" w:lineRule="auto"/>
        <w:ind w:left="0" w:right="0" w:firstLine="0"/>
        <w:rPr>
          <w:b/>
        </w:rPr>
      </w:pPr>
      <w:r>
        <w:rPr>
          <w:b/>
        </w:rPr>
        <w:t xml:space="preserve">6.0 </w:t>
      </w:r>
      <w:r w:rsidR="00B65084" w:rsidRPr="00B65084">
        <w:rPr>
          <w:b/>
        </w:rPr>
        <w:t xml:space="preserve">Other Options Considered </w:t>
      </w:r>
    </w:p>
    <w:p w14:paraId="0853FF01" w14:textId="77777777" w:rsidR="00407CA2" w:rsidRDefault="00407CA2" w:rsidP="002D5939">
      <w:pPr>
        <w:spacing w:after="0" w:line="240" w:lineRule="auto"/>
        <w:ind w:left="0" w:right="0" w:firstLine="0"/>
        <w:rPr>
          <w:b/>
        </w:rPr>
      </w:pPr>
    </w:p>
    <w:p w14:paraId="0853FF02" w14:textId="77777777" w:rsidR="00407CA2" w:rsidRPr="00407CA2" w:rsidRDefault="00D16727" w:rsidP="00407CA2">
      <w:pPr>
        <w:spacing w:after="0" w:line="240" w:lineRule="auto"/>
        <w:ind w:right="0"/>
        <w:rPr>
          <w:rFonts w:cstheme="minorHAnsi"/>
          <w:bCs/>
        </w:rPr>
      </w:pPr>
      <w:r>
        <w:rPr>
          <w:rFonts w:cstheme="minorHAnsi"/>
          <w:bCs/>
        </w:rPr>
        <w:t xml:space="preserve">6.1 </w:t>
      </w:r>
      <w:r w:rsidR="00407CA2" w:rsidRPr="00407CA2">
        <w:rPr>
          <w:rFonts w:cstheme="minorHAnsi"/>
          <w:bCs/>
        </w:rPr>
        <w:t>To continue to enforce the Section 106 as it stands. If there is no take up of the DMV within the time frames specified in the Section 106 the default position currently provides that if unsold after 6 month of marketing the affordable homes can become market value with Redrow paying the Council 20% of their sale value. Based upon the independent valuations the amount that would be payable is approximately £1,70</w:t>
      </w:r>
      <w:r w:rsidR="00B4554F">
        <w:rPr>
          <w:rFonts w:cstheme="minorHAnsi"/>
          <w:bCs/>
        </w:rPr>
        <w:t>0</w:t>
      </w:r>
      <w:r w:rsidR="00407CA2" w:rsidRPr="00407CA2">
        <w:rPr>
          <w:rFonts w:cstheme="minorHAnsi"/>
          <w:bCs/>
        </w:rPr>
        <w:t>,000.</w:t>
      </w:r>
    </w:p>
    <w:p w14:paraId="0853FF03" w14:textId="77777777" w:rsidR="00407CA2" w:rsidRPr="00976AB9" w:rsidRDefault="00407CA2" w:rsidP="00407CA2">
      <w:pPr>
        <w:pStyle w:val="ListParagraph"/>
        <w:spacing w:after="0" w:line="240" w:lineRule="auto"/>
        <w:rPr>
          <w:rFonts w:cstheme="minorHAnsi"/>
          <w:bCs/>
        </w:rPr>
      </w:pPr>
      <w:r w:rsidRPr="00976AB9">
        <w:rPr>
          <w:rFonts w:cstheme="minorHAnsi"/>
          <w:bCs/>
        </w:rPr>
        <w:t xml:space="preserve"> </w:t>
      </w:r>
    </w:p>
    <w:p w14:paraId="0853FF04" w14:textId="77777777" w:rsidR="00407CA2" w:rsidRDefault="00D16727" w:rsidP="00407CA2">
      <w:pPr>
        <w:spacing w:after="160" w:line="259" w:lineRule="auto"/>
        <w:ind w:right="0"/>
        <w:rPr>
          <w:rFonts w:cstheme="minorHAnsi"/>
          <w:bCs/>
        </w:rPr>
      </w:pPr>
      <w:r>
        <w:rPr>
          <w:rFonts w:cstheme="minorHAnsi"/>
          <w:bCs/>
        </w:rPr>
        <w:t xml:space="preserve">6.2 </w:t>
      </w:r>
      <w:r w:rsidR="00407CA2" w:rsidRPr="00407CA2">
        <w:rPr>
          <w:rFonts w:cstheme="minorHAnsi"/>
          <w:bCs/>
        </w:rPr>
        <w:t xml:space="preserve">If agreeable to the Council, Redrow would be open to varying the Section 106 agreement to bring forward payment of this sum (with account taken for any extra CIL payable) in exchange for the plots becoming open market sale without encumbrance. </w:t>
      </w:r>
    </w:p>
    <w:p w14:paraId="0853FF05" w14:textId="77777777" w:rsidR="00F47B96" w:rsidRDefault="00F47B96" w:rsidP="00407CA2">
      <w:pPr>
        <w:spacing w:after="160" w:line="259" w:lineRule="auto"/>
        <w:ind w:right="0"/>
        <w:rPr>
          <w:rFonts w:cstheme="minorHAnsi"/>
          <w:bCs/>
        </w:rPr>
      </w:pPr>
    </w:p>
    <w:p w14:paraId="0853FF06" w14:textId="77777777" w:rsidR="00F47B96" w:rsidRDefault="00D16727" w:rsidP="00F47B96">
      <w:pPr>
        <w:pStyle w:val="Heading2"/>
        <w:spacing w:after="0"/>
        <w:ind w:left="-5"/>
      </w:pPr>
      <w:proofErr w:type="gramStart"/>
      <w:r>
        <w:rPr>
          <w:u w:val="single" w:color="000000"/>
        </w:rPr>
        <w:lastRenderedPageBreak/>
        <w:t xml:space="preserve">7.0 </w:t>
      </w:r>
      <w:r w:rsidR="00F47B96">
        <w:rPr>
          <w:u w:val="single" w:color="000000"/>
        </w:rPr>
        <w:t xml:space="preserve"> CONCLUSION</w:t>
      </w:r>
      <w:proofErr w:type="gramEnd"/>
      <w:r w:rsidR="00F47B96">
        <w:t xml:space="preserve"> </w:t>
      </w:r>
    </w:p>
    <w:p w14:paraId="0853FF07" w14:textId="77777777" w:rsidR="00F47B96" w:rsidRPr="00F47B96" w:rsidRDefault="00F47B96" w:rsidP="00F47B96"/>
    <w:p w14:paraId="0853FF08" w14:textId="77777777" w:rsidR="00F47B96" w:rsidRPr="00F47B96" w:rsidRDefault="00D16727" w:rsidP="00F47B96">
      <w:pPr>
        <w:spacing w:after="0" w:line="240" w:lineRule="auto"/>
        <w:ind w:right="0"/>
        <w:rPr>
          <w:rFonts w:cstheme="minorHAnsi"/>
          <w:bCs/>
        </w:rPr>
      </w:pPr>
      <w:r>
        <w:rPr>
          <w:rFonts w:cstheme="minorHAnsi"/>
          <w:bCs/>
        </w:rPr>
        <w:t xml:space="preserve">7.1 </w:t>
      </w:r>
      <w:r w:rsidR="00F47B96" w:rsidRPr="00F47B96">
        <w:rPr>
          <w:rFonts w:cstheme="minorHAnsi"/>
          <w:bCs/>
        </w:rPr>
        <w:t xml:space="preserve">The application site forms part of a wider housing site known as Site P under D1 of the adopted South </w:t>
      </w:r>
      <w:proofErr w:type="spellStart"/>
      <w:r w:rsidR="00F47B96" w:rsidRPr="00F47B96">
        <w:rPr>
          <w:rFonts w:cstheme="minorHAnsi"/>
          <w:bCs/>
        </w:rPr>
        <w:t>Ribble</w:t>
      </w:r>
      <w:proofErr w:type="spellEnd"/>
      <w:r w:rsidR="00F47B96" w:rsidRPr="00F47B96">
        <w:rPr>
          <w:rFonts w:cstheme="minorHAnsi"/>
          <w:bCs/>
        </w:rPr>
        <w:t xml:space="preserve"> Local Plan 2015. The site is a parcel of land that the Council wishes to see come forward for residential development</w:t>
      </w:r>
      <w:r w:rsidR="00F47B96">
        <w:rPr>
          <w:rFonts w:cstheme="minorHAnsi"/>
          <w:bCs/>
        </w:rPr>
        <w:t xml:space="preserve">. </w:t>
      </w:r>
      <w:r w:rsidR="00F47B96" w:rsidRPr="00F47B96">
        <w:rPr>
          <w:rFonts w:cstheme="minorHAnsi"/>
          <w:bCs/>
        </w:rPr>
        <w:t xml:space="preserve">Planning permission has been granted for outline consent </w:t>
      </w:r>
      <w:r w:rsidR="00F47B96">
        <w:rPr>
          <w:rFonts w:cstheme="minorHAnsi"/>
          <w:bCs/>
        </w:rPr>
        <w:t xml:space="preserve">to </w:t>
      </w:r>
      <w:r w:rsidR="00F47B96" w:rsidRPr="00F47B96">
        <w:rPr>
          <w:rFonts w:cstheme="minorHAnsi"/>
          <w:bCs/>
        </w:rPr>
        <w:t>provide for 400 dwellings</w:t>
      </w:r>
      <w:r w:rsidR="00F47B96">
        <w:rPr>
          <w:rFonts w:cstheme="minorHAnsi"/>
          <w:bCs/>
        </w:rPr>
        <w:t>,</w:t>
      </w:r>
      <w:r w:rsidR="00F47B96" w:rsidRPr="00F47B96">
        <w:rPr>
          <w:rFonts w:cstheme="minorHAnsi"/>
          <w:bCs/>
        </w:rPr>
        <w:t xml:space="preserve"> to</w:t>
      </w:r>
      <w:r w:rsidR="00A00793">
        <w:rPr>
          <w:rFonts w:cstheme="minorHAnsi"/>
          <w:bCs/>
        </w:rPr>
        <w:t>-</w:t>
      </w:r>
      <w:proofErr w:type="spellStart"/>
      <w:r w:rsidR="00F47B96" w:rsidRPr="00F47B96">
        <w:rPr>
          <w:rFonts w:cstheme="minorHAnsi"/>
          <w:bCs/>
        </w:rPr>
        <w:t>gether</w:t>
      </w:r>
      <w:proofErr w:type="spellEnd"/>
      <w:r w:rsidR="00F47B96" w:rsidRPr="00F47B96">
        <w:rPr>
          <w:rFonts w:cstheme="minorHAnsi"/>
          <w:bCs/>
        </w:rPr>
        <w:t xml:space="preserve"> with Reserved Matters permission</w:t>
      </w:r>
      <w:r w:rsidR="00F47B96">
        <w:rPr>
          <w:rFonts w:cstheme="minorHAnsi"/>
          <w:bCs/>
        </w:rPr>
        <w:t>s</w:t>
      </w:r>
      <w:r w:rsidR="00F47B96" w:rsidRPr="00F47B96">
        <w:rPr>
          <w:rFonts w:cstheme="minorHAnsi"/>
          <w:bCs/>
        </w:rPr>
        <w:t xml:space="preserve"> for 232 dwellings. </w:t>
      </w:r>
    </w:p>
    <w:p w14:paraId="0853FF09" w14:textId="77777777" w:rsidR="00F47B96" w:rsidRDefault="00F47B96" w:rsidP="00F47B96">
      <w:pPr>
        <w:spacing w:after="0" w:line="240" w:lineRule="auto"/>
        <w:ind w:right="0"/>
        <w:rPr>
          <w:rFonts w:cstheme="minorHAnsi"/>
          <w:bCs/>
        </w:rPr>
      </w:pPr>
    </w:p>
    <w:p w14:paraId="0853FF0A" w14:textId="77777777" w:rsidR="00F47B96" w:rsidRDefault="00D16727" w:rsidP="00F47B96">
      <w:pPr>
        <w:spacing w:after="0" w:line="240" w:lineRule="auto"/>
        <w:ind w:right="0"/>
        <w:rPr>
          <w:rFonts w:cstheme="minorHAnsi"/>
          <w:bCs/>
        </w:rPr>
      </w:pPr>
      <w:r>
        <w:rPr>
          <w:rFonts w:cstheme="minorHAnsi"/>
          <w:bCs/>
        </w:rPr>
        <w:t xml:space="preserve">7.2 </w:t>
      </w:r>
      <w:r w:rsidR="00F47B96">
        <w:rPr>
          <w:rFonts w:cstheme="minorHAnsi"/>
          <w:bCs/>
        </w:rPr>
        <w:t>T</w:t>
      </w:r>
      <w:r w:rsidR="00F47B96" w:rsidRPr="00A901C6">
        <w:rPr>
          <w:rFonts w:cstheme="minorHAnsi"/>
          <w:bCs/>
        </w:rPr>
        <w:t>he affordable housing provision at this site sought to be one of the first to provide Starter Homes</w:t>
      </w:r>
      <w:r w:rsidR="00F47B96">
        <w:rPr>
          <w:rFonts w:cstheme="minorHAnsi"/>
          <w:bCs/>
        </w:rPr>
        <w:t xml:space="preserve"> </w:t>
      </w:r>
      <w:r w:rsidR="00F47B96" w:rsidRPr="00A901C6">
        <w:rPr>
          <w:rFonts w:cstheme="minorHAnsi"/>
          <w:bCs/>
        </w:rPr>
        <w:t xml:space="preserve">a Conservative Government initiative in 2017. </w:t>
      </w:r>
      <w:r w:rsidR="00F47B96">
        <w:rPr>
          <w:rFonts w:cstheme="minorHAnsi"/>
          <w:bCs/>
        </w:rPr>
        <w:t>I</w:t>
      </w:r>
      <w:r w:rsidR="00F47B96" w:rsidRPr="00A901C6">
        <w:rPr>
          <w:rFonts w:cstheme="minorHAnsi"/>
          <w:bCs/>
        </w:rPr>
        <w:t>f the Starter Homes were not delivered</w:t>
      </w:r>
      <w:r w:rsidR="00F47B96">
        <w:rPr>
          <w:rFonts w:cstheme="minorHAnsi"/>
          <w:bCs/>
        </w:rPr>
        <w:t>,</w:t>
      </w:r>
      <w:r w:rsidR="00F47B96" w:rsidRPr="00A901C6">
        <w:rPr>
          <w:rFonts w:cstheme="minorHAnsi"/>
          <w:bCs/>
        </w:rPr>
        <w:t xml:space="preserve"> </w:t>
      </w:r>
      <w:r w:rsidR="00F47B96">
        <w:rPr>
          <w:rFonts w:cstheme="minorHAnsi"/>
          <w:bCs/>
        </w:rPr>
        <w:t>a</w:t>
      </w:r>
      <w:r w:rsidR="00F47B96" w:rsidRPr="00AF1781">
        <w:rPr>
          <w:rFonts w:cstheme="minorHAnsi"/>
          <w:bCs/>
        </w:rPr>
        <w:t>s part of the provisions within the Section 106</w:t>
      </w:r>
      <w:r w:rsidR="00F47B96">
        <w:rPr>
          <w:rFonts w:cstheme="minorHAnsi"/>
          <w:bCs/>
        </w:rPr>
        <w:t>,</w:t>
      </w:r>
      <w:r w:rsidR="00F47B96" w:rsidRPr="00AF1781">
        <w:rPr>
          <w:rFonts w:cstheme="minorHAnsi"/>
          <w:bCs/>
        </w:rPr>
        <w:t xml:space="preserve"> </w:t>
      </w:r>
      <w:r w:rsidR="00F47B96" w:rsidRPr="00A901C6">
        <w:rPr>
          <w:rFonts w:cstheme="minorHAnsi"/>
          <w:bCs/>
        </w:rPr>
        <w:t xml:space="preserve">a fall-back position included </w:t>
      </w:r>
      <w:r w:rsidR="00F47B96">
        <w:rPr>
          <w:rFonts w:cstheme="minorHAnsi"/>
          <w:bCs/>
        </w:rPr>
        <w:t xml:space="preserve">the delivery of </w:t>
      </w:r>
      <w:r w:rsidR="00F47B96" w:rsidRPr="00A901C6">
        <w:rPr>
          <w:rFonts w:cstheme="minorHAnsi"/>
          <w:bCs/>
        </w:rPr>
        <w:t xml:space="preserve">Discounted Market Homes (DMV). Due to the current housing issues including the ability to secure a mortgage the DMV units </w:t>
      </w:r>
      <w:r w:rsidR="00F47B96">
        <w:rPr>
          <w:rFonts w:cstheme="minorHAnsi"/>
          <w:bCs/>
        </w:rPr>
        <w:t>have become</w:t>
      </w:r>
      <w:r w:rsidR="00F47B96" w:rsidRPr="00A901C6">
        <w:rPr>
          <w:rFonts w:cstheme="minorHAnsi"/>
          <w:bCs/>
        </w:rPr>
        <w:t xml:space="preserve"> less financially attractive to first time buyers. </w:t>
      </w:r>
    </w:p>
    <w:p w14:paraId="0853FF0B" w14:textId="77777777" w:rsidR="00F47B96" w:rsidRDefault="00F47B96" w:rsidP="00F47B96">
      <w:pPr>
        <w:spacing w:after="0" w:line="240" w:lineRule="auto"/>
        <w:ind w:right="0"/>
        <w:rPr>
          <w:rFonts w:cstheme="minorHAnsi"/>
          <w:bCs/>
        </w:rPr>
      </w:pPr>
    </w:p>
    <w:p w14:paraId="0853FF0C" w14:textId="77777777" w:rsidR="00F47B96" w:rsidRDefault="00D16727" w:rsidP="00F47B96">
      <w:pPr>
        <w:spacing w:after="0" w:line="240" w:lineRule="auto"/>
        <w:ind w:right="0"/>
        <w:rPr>
          <w:rFonts w:cstheme="minorHAnsi"/>
          <w:bCs/>
        </w:rPr>
      </w:pPr>
      <w:r>
        <w:rPr>
          <w:rFonts w:cstheme="minorHAnsi"/>
          <w:bCs/>
        </w:rPr>
        <w:t xml:space="preserve">7.3 </w:t>
      </w:r>
      <w:r w:rsidR="00F47B96" w:rsidRPr="00A901C6">
        <w:rPr>
          <w:rFonts w:cstheme="minorHAnsi"/>
          <w:bCs/>
        </w:rPr>
        <w:t xml:space="preserve">The </w:t>
      </w:r>
      <w:r w:rsidR="00980145">
        <w:rPr>
          <w:rFonts w:cstheme="minorHAnsi"/>
          <w:bCs/>
        </w:rPr>
        <w:t xml:space="preserve">variation of the Section 106 agreement </w:t>
      </w:r>
      <w:r w:rsidR="00F47B96" w:rsidRPr="00A901C6">
        <w:rPr>
          <w:rFonts w:cstheme="minorHAnsi"/>
          <w:bCs/>
        </w:rPr>
        <w:t>would provide the opportunity for more open market homes to be available for first time buyers</w:t>
      </w:r>
      <w:r w:rsidR="002326B6">
        <w:rPr>
          <w:rFonts w:cstheme="minorHAnsi"/>
          <w:bCs/>
        </w:rPr>
        <w:t xml:space="preserve"> together with a commuted sum in lieu of the </w:t>
      </w:r>
      <w:r w:rsidR="008359AE">
        <w:rPr>
          <w:rFonts w:cstheme="minorHAnsi"/>
          <w:bCs/>
        </w:rPr>
        <w:t>on-site</w:t>
      </w:r>
      <w:r w:rsidR="002326B6">
        <w:rPr>
          <w:rFonts w:cstheme="minorHAnsi"/>
          <w:bCs/>
        </w:rPr>
        <w:t xml:space="preserve"> affordable provision. </w:t>
      </w:r>
      <w:r w:rsidR="00F47B96" w:rsidRPr="00A901C6">
        <w:rPr>
          <w:rFonts w:cstheme="minorHAnsi"/>
          <w:bCs/>
        </w:rPr>
        <w:t xml:space="preserve"> </w:t>
      </w:r>
    </w:p>
    <w:p w14:paraId="0853FF0D" w14:textId="77777777" w:rsidR="00407CA2" w:rsidRPr="00B65084" w:rsidRDefault="00407CA2" w:rsidP="002D5939">
      <w:pPr>
        <w:spacing w:after="0" w:line="240" w:lineRule="auto"/>
        <w:ind w:left="0" w:right="0" w:firstLine="0"/>
        <w:rPr>
          <w:b/>
        </w:rPr>
      </w:pPr>
    </w:p>
    <w:p w14:paraId="0853FF0E" w14:textId="77777777" w:rsidR="002D5939" w:rsidRPr="002D5939" w:rsidRDefault="00D16727" w:rsidP="002D5939">
      <w:pPr>
        <w:spacing w:after="0" w:line="240" w:lineRule="auto"/>
        <w:ind w:left="0" w:right="0" w:firstLine="0"/>
        <w:rPr>
          <w:rFonts w:asciiTheme="majorHAnsi" w:hAnsiTheme="majorHAnsi" w:cstheme="majorHAnsi"/>
        </w:rPr>
      </w:pPr>
      <w:r>
        <w:t xml:space="preserve">7.4 </w:t>
      </w:r>
      <w:r w:rsidR="002D5939">
        <w:t xml:space="preserve">On that basis the variation to the Section 106 with regard to the land the subject of the following permissions </w:t>
      </w:r>
      <w:r w:rsidR="002D5939" w:rsidRPr="00F305C0">
        <w:t xml:space="preserve">07/2018/1674/REM, 07/2019/0300/REM and 07/2020/00935/REM, each being pursuant to 07/2016/0591/OUT </w:t>
      </w:r>
      <w:r w:rsidR="002D5939">
        <w:t>be supported</w:t>
      </w:r>
      <w:r w:rsidR="002D5939" w:rsidRPr="002D5939">
        <w:rPr>
          <w:rFonts w:ascii="Proxima Nova" w:hAnsi="Proxima Nova" w:cs="Proxima Nova"/>
        </w:rPr>
        <w:t xml:space="preserve"> </w:t>
      </w:r>
      <w:r w:rsidR="002D5939" w:rsidRPr="001F58FC">
        <w:t>insofar as it relates to the land currently owned by Redrow Homes</w:t>
      </w:r>
      <w:r w:rsidR="002D5939">
        <w:t>.</w:t>
      </w:r>
    </w:p>
    <w:p w14:paraId="0853FF0F" w14:textId="77777777" w:rsidR="002D5939" w:rsidRDefault="002D5939">
      <w:pPr>
        <w:spacing w:after="0" w:line="259" w:lineRule="auto"/>
        <w:ind w:left="-5" w:right="0"/>
        <w:jc w:val="left"/>
        <w:rPr>
          <w:b/>
          <w:u w:val="single" w:color="000000"/>
        </w:rPr>
      </w:pPr>
    </w:p>
    <w:p w14:paraId="0853FF10" w14:textId="77777777" w:rsidR="009D12C4" w:rsidRDefault="00D11DF1" w:rsidP="007E7E4D">
      <w:pPr>
        <w:spacing w:after="0" w:line="259" w:lineRule="auto"/>
        <w:ind w:left="0" w:right="0" w:firstLine="0"/>
        <w:jc w:val="left"/>
      </w:pPr>
      <w:r>
        <w:rPr>
          <w:b/>
          <w:u w:val="single" w:color="000000"/>
        </w:rPr>
        <w:t xml:space="preserve">8.0 </w:t>
      </w:r>
      <w:r w:rsidR="00EA44D2">
        <w:rPr>
          <w:b/>
          <w:u w:val="single" w:color="000000"/>
        </w:rPr>
        <w:t>RECOMMENDATION:</w:t>
      </w:r>
      <w:r w:rsidR="00EA44D2">
        <w:rPr>
          <w:b/>
        </w:rPr>
        <w:t xml:space="preserve"> </w:t>
      </w:r>
    </w:p>
    <w:p w14:paraId="0853FF11" w14:textId="77777777" w:rsidR="009D12C4" w:rsidRDefault="00EA44D2">
      <w:pPr>
        <w:spacing w:after="0" w:line="259" w:lineRule="auto"/>
        <w:ind w:left="0" w:right="0" w:firstLine="0"/>
        <w:jc w:val="left"/>
      </w:pPr>
      <w:r>
        <w:t xml:space="preserve"> </w:t>
      </w:r>
    </w:p>
    <w:p w14:paraId="0853FF12" w14:textId="77777777" w:rsidR="007D60AC" w:rsidRPr="002D5939" w:rsidRDefault="00D11DF1" w:rsidP="007D60AC">
      <w:pPr>
        <w:spacing w:after="0" w:line="240" w:lineRule="auto"/>
        <w:ind w:left="0" w:right="0" w:firstLine="0"/>
        <w:rPr>
          <w:rFonts w:asciiTheme="majorHAnsi" w:hAnsiTheme="majorHAnsi" w:cstheme="majorHAnsi"/>
        </w:rPr>
      </w:pPr>
      <w:r>
        <w:t xml:space="preserve">8.1 </w:t>
      </w:r>
      <w:r w:rsidR="007D60AC">
        <w:t xml:space="preserve">To seek delegated authority to vary the Section 106 with regard to the land the subject of the following permissions </w:t>
      </w:r>
      <w:r w:rsidR="007D60AC" w:rsidRPr="00F305C0">
        <w:t xml:space="preserve">07/2018/1674/REM, 07/2019/0300/REM and 07/2020/00935/REM, each being pursuant to 07/2016/0591/OUT </w:t>
      </w:r>
      <w:r w:rsidR="007D60AC" w:rsidRPr="001F58FC">
        <w:t>insofar as it relates to the land currently owned by Redrow Homes</w:t>
      </w:r>
      <w:r w:rsidR="007D60AC">
        <w:t>. The Variation relates to the Council receiving a commuted sum instead of the 20% on site affordable housing provision.</w:t>
      </w:r>
    </w:p>
    <w:p w14:paraId="0853FF13" w14:textId="77777777" w:rsidR="009D12C4" w:rsidRDefault="009D12C4">
      <w:pPr>
        <w:spacing w:after="0" w:line="259" w:lineRule="auto"/>
        <w:ind w:left="0" w:right="0" w:firstLine="0"/>
        <w:jc w:val="left"/>
      </w:pPr>
    </w:p>
    <w:p w14:paraId="0853FF14" w14:textId="77777777" w:rsidR="009D12C4" w:rsidRDefault="009D12C4">
      <w:pPr>
        <w:spacing w:after="0" w:line="259" w:lineRule="auto"/>
        <w:ind w:left="0" w:right="0" w:firstLine="0"/>
        <w:jc w:val="left"/>
      </w:pPr>
    </w:p>
    <w:p w14:paraId="0853FF15" w14:textId="77777777" w:rsidR="009D12C4" w:rsidRDefault="00EA44D2">
      <w:pPr>
        <w:pStyle w:val="Heading1"/>
        <w:ind w:left="-5"/>
      </w:pPr>
      <w:r>
        <w:t>RELEVANT POLICY</w:t>
      </w:r>
      <w:r>
        <w:rPr>
          <w:u w:val="none"/>
        </w:rPr>
        <w:t xml:space="preserve"> </w:t>
      </w:r>
    </w:p>
    <w:p w14:paraId="0853FF16" w14:textId="77777777" w:rsidR="009D12C4" w:rsidRDefault="00EA44D2">
      <w:pPr>
        <w:spacing w:after="0" w:line="259" w:lineRule="auto"/>
        <w:ind w:left="0" w:right="0" w:firstLine="0"/>
        <w:jc w:val="left"/>
      </w:pPr>
      <w:r>
        <w:rPr>
          <w:b/>
        </w:rPr>
        <w:t xml:space="preserve"> </w:t>
      </w:r>
    </w:p>
    <w:p w14:paraId="0853FF17" w14:textId="77777777" w:rsidR="009D12C4" w:rsidRDefault="00EA44D2">
      <w:pPr>
        <w:pStyle w:val="Heading2"/>
        <w:ind w:left="-5"/>
      </w:pPr>
      <w:r>
        <w:t xml:space="preserve">NPPF National Planning Policy Framework </w:t>
      </w:r>
    </w:p>
    <w:p w14:paraId="0853FF18" w14:textId="77777777" w:rsidR="009D12C4" w:rsidRDefault="00EA44D2">
      <w:pPr>
        <w:spacing w:after="0" w:line="259" w:lineRule="auto"/>
        <w:ind w:left="0" w:right="0" w:firstLine="0"/>
        <w:jc w:val="left"/>
      </w:pPr>
      <w:r>
        <w:rPr>
          <w:b/>
        </w:rPr>
        <w:t xml:space="preserve"> </w:t>
      </w:r>
    </w:p>
    <w:p w14:paraId="0853FF19" w14:textId="77777777" w:rsidR="009D12C4" w:rsidRDefault="00EA44D2">
      <w:pPr>
        <w:tabs>
          <w:tab w:val="center" w:pos="2772"/>
        </w:tabs>
        <w:spacing w:after="1" w:line="259" w:lineRule="auto"/>
        <w:ind w:left="-15" w:right="0" w:firstLine="0"/>
        <w:jc w:val="left"/>
      </w:pPr>
      <w:r>
        <w:rPr>
          <w:b/>
        </w:rPr>
        <w:t xml:space="preserve">1 </w:t>
      </w:r>
      <w:r>
        <w:rPr>
          <w:b/>
        </w:rPr>
        <w:tab/>
        <w:t xml:space="preserve">Locating Growth (Core Strategy Policy) </w:t>
      </w:r>
    </w:p>
    <w:p w14:paraId="0853FF1A" w14:textId="77777777" w:rsidR="009D12C4" w:rsidRDefault="00EA44D2">
      <w:pPr>
        <w:spacing w:after="0" w:line="259" w:lineRule="auto"/>
        <w:ind w:left="0" w:right="0" w:firstLine="0"/>
        <w:jc w:val="left"/>
      </w:pPr>
      <w:r>
        <w:rPr>
          <w:b/>
        </w:rPr>
        <w:t xml:space="preserve"> </w:t>
      </w:r>
    </w:p>
    <w:p w14:paraId="0853FF1B" w14:textId="77777777" w:rsidR="009D12C4" w:rsidRDefault="00EA44D2">
      <w:pPr>
        <w:numPr>
          <w:ilvl w:val="0"/>
          <w:numId w:val="7"/>
        </w:numPr>
        <w:spacing w:after="1" w:line="259" w:lineRule="auto"/>
        <w:ind w:right="0" w:hanging="720"/>
        <w:jc w:val="left"/>
      </w:pPr>
      <w:r>
        <w:rPr>
          <w:b/>
        </w:rPr>
        <w:t xml:space="preserve">Housing Delivery (Core Strategy Policy) </w:t>
      </w:r>
    </w:p>
    <w:p w14:paraId="0853FF1C" w14:textId="77777777" w:rsidR="009D12C4" w:rsidRDefault="00EA44D2">
      <w:pPr>
        <w:spacing w:after="0" w:line="259" w:lineRule="auto"/>
        <w:ind w:left="0" w:right="0" w:firstLine="0"/>
        <w:jc w:val="left"/>
      </w:pPr>
      <w:r>
        <w:rPr>
          <w:b/>
        </w:rPr>
        <w:t xml:space="preserve"> </w:t>
      </w:r>
    </w:p>
    <w:p w14:paraId="0853FF1D" w14:textId="77777777" w:rsidR="009D12C4" w:rsidRDefault="00EA44D2">
      <w:pPr>
        <w:numPr>
          <w:ilvl w:val="0"/>
          <w:numId w:val="7"/>
        </w:numPr>
        <w:spacing w:after="1" w:line="259" w:lineRule="auto"/>
        <w:ind w:right="0" w:hanging="720"/>
        <w:jc w:val="left"/>
      </w:pPr>
      <w:r>
        <w:rPr>
          <w:b/>
        </w:rPr>
        <w:t xml:space="preserve">Housing </w:t>
      </w:r>
      <w:proofErr w:type="gramStart"/>
      <w:r>
        <w:rPr>
          <w:b/>
        </w:rPr>
        <w:t>Density  (</w:t>
      </w:r>
      <w:proofErr w:type="gramEnd"/>
      <w:r>
        <w:rPr>
          <w:b/>
        </w:rPr>
        <w:t xml:space="preserve">Core Strategy Policy) </w:t>
      </w:r>
    </w:p>
    <w:p w14:paraId="0853FF1E" w14:textId="77777777" w:rsidR="009D12C4" w:rsidRDefault="00EA44D2">
      <w:pPr>
        <w:spacing w:after="0" w:line="259" w:lineRule="auto"/>
        <w:ind w:left="0" w:right="0" w:firstLine="0"/>
        <w:jc w:val="left"/>
      </w:pPr>
      <w:r>
        <w:rPr>
          <w:b/>
        </w:rPr>
        <w:t xml:space="preserve"> </w:t>
      </w:r>
    </w:p>
    <w:p w14:paraId="0853FF1F" w14:textId="77777777" w:rsidR="009D12C4" w:rsidRDefault="00EA44D2">
      <w:pPr>
        <w:numPr>
          <w:ilvl w:val="0"/>
          <w:numId w:val="7"/>
        </w:numPr>
        <w:spacing w:after="1" w:line="259" w:lineRule="auto"/>
        <w:ind w:right="0" w:hanging="720"/>
        <w:jc w:val="left"/>
      </w:pPr>
      <w:r>
        <w:rPr>
          <w:b/>
        </w:rPr>
        <w:t xml:space="preserve">Housing </w:t>
      </w:r>
      <w:proofErr w:type="gramStart"/>
      <w:r>
        <w:rPr>
          <w:b/>
        </w:rPr>
        <w:t>Quality  (</w:t>
      </w:r>
      <w:proofErr w:type="gramEnd"/>
      <w:r>
        <w:rPr>
          <w:b/>
        </w:rPr>
        <w:t xml:space="preserve">Core Strategy Policy) </w:t>
      </w:r>
    </w:p>
    <w:p w14:paraId="0853FF20" w14:textId="77777777" w:rsidR="009D12C4" w:rsidRDefault="00EA44D2">
      <w:pPr>
        <w:spacing w:after="0" w:line="259" w:lineRule="auto"/>
        <w:ind w:left="0" w:right="0" w:firstLine="0"/>
        <w:jc w:val="left"/>
      </w:pPr>
      <w:r>
        <w:rPr>
          <w:b/>
        </w:rPr>
        <w:t xml:space="preserve"> </w:t>
      </w:r>
    </w:p>
    <w:p w14:paraId="0853FF21" w14:textId="77777777" w:rsidR="009D12C4" w:rsidRDefault="00EA44D2">
      <w:pPr>
        <w:numPr>
          <w:ilvl w:val="0"/>
          <w:numId w:val="7"/>
        </w:numPr>
        <w:spacing w:after="1" w:line="259" w:lineRule="auto"/>
        <w:ind w:right="0" w:hanging="720"/>
        <w:jc w:val="left"/>
      </w:pPr>
      <w:r>
        <w:rPr>
          <w:b/>
        </w:rPr>
        <w:t xml:space="preserve">Affordable and Special Needs </w:t>
      </w:r>
      <w:proofErr w:type="gramStart"/>
      <w:r>
        <w:rPr>
          <w:b/>
        </w:rPr>
        <w:t>Housing  (</w:t>
      </w:r>
      <w:proofErr w:type="gramEnd"/>
      <w:r>
        <w:rPr>
          <w:b/>
        </w:rPr>
        <w:t xml:space="preserve">Core Strategy Policy) </w:t>
      </w:r>
    </w:p>
    <w:p w14:paraId="0853FF22" w14:textId="77777777" w:rsidR="009D12C4" w:rsidRDefault="00EA44D2">
      <w:pPr>
        <w:spacing w:after="0" w:line="259" w:lineRule="auto"/>
        <w:ind w:left="0" w:right="0" w:firstLine="0"/>
        <w:jc w:val="left"/>
      </w:pPr>
      <w:r>
        <w:rPr>
          <w:b/>
        </w:rPr>
        <w:t xml:space="preserve"> </w:t>
      </w:r>
    </w:p>
    <w:p w14:paraId="0853FF23" w14:textId="77777777" w:rsidR="009D12C4" w:rsidRDefault="00EA44D2">
      <w:pPr>
        <w:tabs>
          <w:tab w:val="center" w:pos="3480"/>
        </w:tabs>
        <w:spacing w:after="1" w:line="259" w:lineRule="auto"/>
        <w:ind w:left="-15" w:right="0" w:firstLine="0"/>
        <w:jc w:val="left"/>
      </w:pPr>
      <w:r>
        <w:rPr>
          <w:b/>
        </w:rPr>
        <w:t xml:space="preserve">22 </w:t>
      </w:r>
      <w:r>
        <w:rPr>
          <w:b/>
        </w:rPr>
        <w:tab/>
        <w:t xml:space="preserve">Biodiversity and Geodiversity (Core Strategy Policy) </w:t>
      </w:r>
    </w:p>
    <w:p w14:paraId="0853FF24" w14:textId="77777777" w:rsidR="009D12C4" w:rsidRDefault="00EA44D2">
      <w:pPr>
        <w:spacing w:after="0" w:line="259" w:lineRule="auto"/>
        <w:ind w:left="0" w:right="0" w:firstLine="0"/>
        <w:jc w:val="left"/>
      </w:pPr>
      <w:r>
        <w:rPr>
          <w:b/>
        </w:rPr>
        <w:t xml:space="preserve"> </w:t>
      </w:r>
    </w:p>
    <w:p w14:paraId="0853FF25" w14:textId="77777777" w:rsidR="009D12C4" w:rsidRDefault="00EA44D2">
      <w:pPr>
        <w:numPr>
          <w:ilvl w:val="0"/>
          <w:numId w:val="8"/>
        </w:numPr>
        <w:spacing w:after="1" w:line="259" w:lineRule="auto"/>
        <w:ind w:right="0" w:hanging="720"/>
        <w:jc w:val="left"/>
      </w:pPr>
      <w:r>
        <w:rPr>
          <w:b/>
        </w:rPr>
        <w:t xml:space="preserve">Crime and Community </w:t>
      </w:r>
      <w:proofErr w:type="gramStart"/>
      <w:r>
        <w:rPr>
          <w:b/>
        </w:rPr>
        <w:t>Safety  (</w:t>
      </w:r>
      <w:proofErr w:type="gramEnd"/>
      <w:r>
        <w:rPr>
          <w:b/>
        </w:rPr>
        <w:t xml:space="preserve">Core Strategy Policy) </w:t>
      </w:r>
    </w:p>
    <w:p w14:paraId="0853FF26" w14:textId="77777777" w:rsidR="009D12C4" w:rsidRDefault="00EA44D2">
      <w:pPr>
        <w:spacing w:after="0" w:line="259" w:lineRule="auto"/>
        <w:ind w:left="0" w:right="0" w:firstLine="0"/>
        <w:jc w:val="left"/>
      </w:pPr>
      <w:r>
        <w:rPr>
          <w:b/>
        </w:rPr>
        <w:t xml:space="preserve"> </w:t>
      </w:r>
    </w:p>
    <w:p w14:paraId="0853FF27" w14:textId="77777777" w:rsidR="009D12C4" w:rsidRDefault="00EA44D2">
      <w:pPr>
        <w:numPr>
          <w:ilvl w:val="0"/>
          <w:numId w:val="8"/>
        </w:numPr>
        <w:spacing w:after="1" w:line="259" w:lineRule="auto"/>
        <w:ind w:right="0" w:hanging="720"/>
        <w:jc w:val="left"/>
      </w:pPr>
      <w:r>
        <w:rPr>
          <w:b/>
        </w:rPr>
        <w:t xml:space="preserve">Sustainable Resources and New </w:t>
      </w:r>
      <w:proofErr w:type="gramStart"/>
      <w:r>
        <w:rPr>
          <w:b/>
        </w:rPr>
        <w:t>Developments  (</w:t>
      </w:r>
      <w:proofErr w:type="gramEnd"/>
      <w:r>
        <w:rPr>
          <w:b/>
        </w:rPr>
        <w:t xml:space="preserve">Core Strategy Policy) </w:t>
      </w:r>
    </w:p>
    <w:p w14:paraId="0853FF28" w14:textId="77777777" w:rsidR="009D12C4" w:rsidRDefault="00EA44D2">
      <w:pPr>
        <w:spacing w:after="0" w:line="259" w:lineRule="auto"/>
        <w:ind w:left="0" w:right="0" w:firstLine="0"/>
        <w:jc w:val="left"/>
      </w:pPr>
      <w:r>
        <w:rPr>
          <w:b/>
        </w:rPr>
        <w:t xml:space="preserve"> </w:t>
      </w:r>
    </w:p>
    <w:p w14:paraId="0853FF29" w14:textId="77777777" w:rsidR="009D12C4" w:rsidRDefault="00EA44D2">
      <w:pPr>
        <w:tabs>
          <w:tab w:val="center" w:pos="2906"/>
        </w:tabs>
        <w:spacing w:after="1" w:line="259" w:lineRule="auto"/>
        <w:ind w:left="-15" w:right="0" w:firstLine="0"/>
        <w:jc w:val="left"/>
      </w:pPr>
      <w:r>
        <w:rPr>
          <w:b/>
        </w:rPr>
        <w:t xml:space="preserve">29 </w:t>
      </w:r>
      <w:r>
        <w:rPr>
          <w:b/>
        </w:rPr>
        <w:tab/>
        <w:t xml:space="preserve">Water Management (Core Strategy Policy) </w:t>
      </w:r>
    </w:p>
    <w:p w14:paraId="0853FF2A" w14:textId="77777777" w:rsidR="009D12C4" w:rsidRDefault="00EA44D2">
      <w:pPr>
        <w:spacing w:after="0" w:line="259" w:lineRule="auto"/>
        <w:ind w:left="0" w:right="0" w:firstLine="0"/>
        <w:jc w:val="left"/>
      </w:pPr>
      <w:r>
        <w:rPr>
          <w:b/>
        </w:rPr>
        <w:t xml:space="preserve"> </w:t>
      </w:r>
    </w:p>
    <w:p w14:paraId="0853FF2B" w14:textId="77777777" w:rsidR="009D12C4" w:rsidRDefault="00EA44D2">
      <w:pPr>
        <w:tabs>
          <w:tab w:val="center" w:pos="3250"/>
        </w:tabs>
        <w:spacing w:after="1" w:line="259" w:lineRule="auto"/>
        <w:ind w:left="-15" w:right="0" w:firstLine="0"/>
        <w:jc w:val="left"/>
      </w:pPr>
      <w:r>
        <w:rPr>
          <w:b/>
        </w:rPr>
        <w:lastRenderedPageBreak/>
        <w:t xml:space="preserve">POLA1 </w:t>
      </w:r>
      <w:r>
        <w:rPr>
          <w:b/>
        </w:rPr>
        <w:tab/>
        <w:t xml:space="preserve">Policy A1 Developer Contributions </w:t>
      </w:r>
    </w:p>
    <w:p w14:paraId="0853FF2C" w14:textId="77777777" w:rsidR="009D12C4" w:rsidRDefault="00EA44D2">
      <w:pPr>
        <w:spacing w:after="0" w:line="259" w:lineRule="auto"/>
        <w:ind w:left="0" w:right="0" w:firstLine="0"/>
        <w:jc w:val="left"/>
      </w:pPr>
      <w:r>
        <w:rPr>
          <w:b/>
        </w:rPr>
        <w:t xml:space="preserve"> </w:t>
      </w:r>
    </w:p>
    <w:p w14:paraId="0853FF2D" w14:textId="77777777" w:rsidR="009D12C4" w:rsidRDefault="00EA44D2">
      <w:pPr>
        <w:tabs>
          <w:tab w:val="center" w:pos="2882"/>
        </w:tabs>
        <w:spacing w:after="1" w:line="259" w:lineRule="auto"/>
        <w:ind w:left="-15" w:right="0" w:firstLine="0"/>
        <w:jc w:val="left"/>
      </w:pPr>
      <w:r>
        <w:rPr>
          <w:b/>
        </w:rPr>
        <w:t xml:space="preserve">POLD1 </w:t>
      </w:r>
      <w:r>
        <w:rPr>
          <w:b/>
        </w:rPr>
        <w:tab/>
        <w:t xml:space="preserve">Allocations of housing land </w:t>
      </w:r>
    </w:p>
    <w:p w14:paraId="0853FF2E" w14:textId="77777777" w:rsidR="009D12C4" w:rsidRDefault="00EA44D2">
      <w:pPr>
        <w:spacing w:after="0" w:line="259" w:lineRule="auto"/>
        <w:ind w:left="0" w:right="0" w:firstLine="0"/>
        <w:jc w:val="left"/>
      </w:pPr>
      <w:r>
        <w:rPr>
          <w:b/>
        </w:rPr>
        <w:t xml:space="preserve"> </w:t>
      </w:r>
    </w:p>
    <w:p w14:paraId="0853FF2F" w14:textId="77777777" w:rsidR="009D12C4" w:rsidRDefault="00EA44D2">
      <w:pPr>
        <w:tabs>
          <w:tab w:val="center" w:pos="3182"/>
        </w:tabs>
        <w:spacing w:after="1" w:line="259" w:lineRule="auto"/>
        <w:ind w:left="-15" w:right="0" w:firstLine="0"/>
        <w:jc w:val="left"/>
      </w:pPr>
      <w:r>
        <w:rPr>
          <w:b/>
        </w:rPr>
        <w:t xml:space="preserve">POLD2 </w:t>
      </w:r>
      <w:r>
        <w:rPr>
          <w:b/>
        </w:rPr>
        <w:tab/>
        <w:t xml:space="preserve">Phasing, Delivery and Monitoring </w:t>
      </w:r>
    </w:p>
    <w:p w14:paraId="0853FF30" w14:textId="77777777" w:rsidR="009D12C4" w:rsidRDefault="00EA44D2">
      <w:pPr>
        <w:spacing w:after="0" w:line="259" w:lineRule="auto"/>
        <w:ind w:left="0" w:right="0" w:firstLine="0"/>
        <w:jc w:val="left"/>
      </w:pPr>
      <w:r>
        <w:rPr>
          <w:b/>
        </w:rPr>
        <w:t xml:space="preserve"> </w:t>
      </w:r>
    </w:p>
    <w:p w14:paraId="0853FF31" w14:textId="77777777" w:rsidR="009D12C4" w:rsidRDefault="00EA44D2">
      <w:pPr>
        <w:pStyle w:val="Heading2"/>
        <w:ind w:left="-5"/>
      </w:pPr>
      <w:r>
        <w:t xml:space="preserve">POLF1 </w:t>
      </w:r>
      <w:r w:rsidR="002E760F">
        <w:t xml:space="preserve">       </w:t>
      </w:r>
      <w:r w:rsidR="00171130">
        <w:t xml:space="preserve">    </w:t>
      </w:r>
      <w:r>
        <w:t xml:space="preserve">Car Parking </w:t>
      </w:r>
    </w:p>
    <w:p w14:paraId="0853FF32" w14:textId="77777777" w:rsidR="009D12C4" w:rsidRDefault="00EA44D2">
      <w:pPr>
        <w:spacing w:after="0" w:line="259" w:lineRule="auto"/>
        <w:ind w:left="0" w:right="0" w:firstLine="0"/>
        <w:jc w:val="left"/>
      </w:pPr>
      <w:r>
        <w:rPr>
          <w:b/>
        </w:rPr>
        <w:t xml:space="preserve"> </w:t>
      </w:r>
    </w:p>
    <w:tbl>
      <w:tblPr>
        <w:tblStyle w:val="TableGrid"/>
        <w:tblW w:w="5438" w:type="dxa"/>
        <w:tblInd w:w="0" w:type="dxa"/>
        <w:tblLook w:val="04A0" w:firstRow="1" w:lastRow="0" w:firstColumn="1" w:lastColumn="0" w:noHBand="0" w:noVBand="1"/>
      </w:tblPr>
      <w:tblGrid>
        <w:gridCol w:w="1440"/>
        <w:gridCol w:w="3998"/>
      </w:tblGrid>
      <w:tr w:rsidR="009D12C4" w14:paraId="0853FF36" w14:textId="77777777">
        <w:trPr>
          <w:trHeight w:val="503"/>
        </w:trPr>
        <w:tc>
          <w:tcPr>
            <w:tcW w:w="1440" w:type="dxa"/>
            <w:tcBorders>
              <w:top w:val="nil"/>
              <w:left w:val="nil"/>
              <w:bottom w:val="nil"/>
              <w:right w:val="nil"/>
            </w:tcBorders>
          </w:tcPr>
          <w:p w14:paraId="0853FF33" w14:textId="77777777" w:rsidR="009D12C4" w:rsidRDefault="00EA44D2">
            <w:pPr>
              <w:spacing w:after="0" w:line="259" w:lineRule="auto"/>
              <w:ind w:left="0" w:right="0" w:firstLine="0"/>
              <w:jc w:val="left"/>
            </w:pPr>
            <w:r>
              <w:rPr>
                <w:b/>
              </w:rPr>
              <w:t xml:space="preserve">POLG9 </w:t>
            </w:r>
          </w:p>
          <w:p w14:paraId="0853FF34" w14:textId="77777777" w:rsidR="009D12C4" w:rsidRDefault="00EA44D2">
            <w:pPr>
              <w:spacing w:after="0" w:line="259" w:lineRule="auto"/>
              <w:ind w:left="0" w:right="0" w:firstLine="0"/>
              <w:jc w:val="left"/>
            </w:pPr>
            <w:r>
              <w:rPr>
                <w:b/>
              </w:rPr>
              <w:t xml:space="preserve"> </w:t>
            </w:r>
          </w:p>
        </w:tc>
        <w:tc>
          <w:tcPr>
            <w:tcW w:w="3998" w:type="dxa"/>
            <w:tcBorders>
              <w:top w:val="nil"/>
              <w:left w:val="nil"/>
              <w:bottom w:val="nil"/>
              <w:right w:val="nil"/>
            </w:tcBorders>
          </w:tcPr>
          <w:p w14:paraId="0853FF35" w14:textId="77777777" w:rsidR="009D12C4" w:rsidRDefault="00EA44D2">
            <w:pPr>
              <w:spacing w:after="0" w:line="259" w:lineRule="auto"/>
              <w:ind w:left="0" w:right="0" w:firstLine="0"/>
              <w:jc w:val="left"/>
            </w:pPr>
            <w:r>
              <w:rPr>
                <w:b/>
              </w:rPr>
              <w:t xml:space="preserve">Worden Park </w:t>
            </w:r>
          </w:p>
        </w:tc>
      </w:tr>
      <w:tr w:rsidR="009D12C4" w14:paraId="0853FF3A" w14:textId="77777777">
        <w:trPr>
          <w:trHeight w:val="506"/>
        </w:trPr>
        <w:tc>
          <w:tcPr>
            <w:tcW w:w="1440" w:type="dxa"/>
            <w:tcBorders>
              <w:top w:val="nil"/>
              <w:left w:val="nil"/>
              <w:bottom w:val="nil"/>
              <w:right w:val="nil"/>
            </w:tcBorders>
          </w:tcPr>
          <w:p w14:paraId="0853FF37" w14:textId="77777777" w:rsidR="009D12C4" w:rsidRDefault="00EA44D2">
            <w:pPr>
              <w:spacing w:after="0" w:line="259" w:lineRule="auto"/>
              <w:ind w:left="0" w:right="0" w:firstLine="0"/>
              <w:jc w:val="left"/>
            </w:pPr>
            <w:r>
              <w:rPr>
                <w:b/>
              </w:rPr>
              <w:t xml:space="preserve">POLG11 </w:t>
            </w:r>
          </w:p>
          <w:p w14:paraId="0853FF38" w14:textId="77777777" w:rsidR="009D12C4" w:rsidRDefault="00EA44D2">
            <w:pPr>
              <w:spacing w:after="0" w:line="259" w:lineRule="auto"/>
              <w:ind w:left="0" w:right="0" w:firstLine="0"/>
              <w:jc w:val="left"/>
            </w:pPr>
            <w:r>
              <w:rPr>
                <w:b/>
              </w:rPr>
              <w:t xml:space="preserve"> </w:t>
            </w:r>
          </w:p>
        </w:tc>
        <w:tc>
          <w:tcPr>
            <w:tcW w:w="3998" w:type="dxa"/>
            <w:tcBorders>
              <w:top w:val="nil"/>
              <w:left w:val="nil"/>
              <w:bottom w:val="nil"/>
              <w:right w:val="nil"/>
            </w:tcBorders>
          </w:tcPr>
          <w:p w14:paraId="0853FF39" w14:textId="77777777" w:rsidR="009D12C4" w:rsidRDefault="00EA44D2">
            <w:pPr>
              <w:spacing w:after="0" w:line="259" w:lineRule="auto"/>
              <w:ind w:left="0" w:right="0" w:firstLine="0"/>
              <w:jc w:val="left"/>
            </w:pPr>
            <w:r>
              <w:rPr>
                <w:b/>
              </w:rPr>
              <w:t xml:space="preserve">Playing Pitch Provision </w:t>
            </w:r>
          </w:p>
        </w:tc>
      </w:tr>
      <w:tr w:rsidR="009D12C4" w14:paraId="0853FF3E" w14:textId="77777777">
        <w:trPr>
          <w:trHeight w:val="505"/>
        </w:trPr>
        <w:tc>
          <w:tcPr>
            <w:tcW w:w="1440" w:type="dxa"/>
            <w:tcBorders>
              <w:top w:val="nil"/>
              <w:left w:val="nil"/>
              <w:bottom w:val="nil"/>
              <w:right w:val="nil"/>
            </w:tcBorders>
          </w:tcPr>
          <w:p w14:paraId="0853FF3B" w14:textId="77777777" w:rsidR="009D12C4" w:rsidRDefault="00EA44D2">
            <w:pPr>
              <w:spacing w:after="0" w:line="259" w:lineRule="auto"/>
              <w:ind w:left="0" w:right="0" w:firstLine="0"/>
              <w:jc w:val="left"/>
            </w:pPr>
            <w:r>
              <w:rPr>
                <w:b/>
              </w:rPr>
              <w:t xml:space="preserve">POLG13 </w:t>
            </w:r>
          </w:p>
          <w:p w14:paraId="0853FF3C" w14:textId="77777777" w:rsidR="009D12C4" w:rsidRDefault="00EA44D2">
            <w:pPr>
              <w:spacing w:after="0" w:line="259" w:lineRule="auto"/>
              <w:ind w:left="0" w:right="0" w:firstLine="0"/>
              <w:jc w:val="left"/>
            </w:pPr>
            <w:r>
              <w:rPr>
                <w:b/>
              </w:rPr>
              <w:t xml:space="preserve"> </w:t>
            </w:r>
          </w:p>
        </w:tc>
        <w:tc>
          <w:tcPr>
            <w:tcW w:w="3998" w:type="dxa"/>
            <w:tcBorders>
              <w:top w:val="nil"/>
              <w:left w:val="nil"/>
              <w:bottom w:val="nil"/>
              <w:right w:val="nil"/>
            </w:tcBorders>
          </w:tcPr>
          <w:p w14:paraId="0853FF3D" w14:textId="77777777" w:rsidR="009D12C4" w:rsidRDefault="00EA44D2">
            <w:pPr>
              <w:spacing w:after="0" w:line="259" w:lineRule="auto"/>
              <w:ind w:left="0" w:right="0" w:firstLine="0"/>
              <w:jc w:val="left"/>
            </w:pPr>
            <w:r>
              <w:rPr>
                <w:b/>
              </w:rPr>
              <w:t xml:space="preserve">Trees, Woodlands and Development </w:t>
            </w:r>
          </w:p>
        </w:tc>
      </w:tr>
      <w:tr w:rsidR="009D12C4" w14:paraId="0853FF42" w14:textId="77777777">
        <w:trPr>
          <w:trHeight w:val="506"/>
        </w:trPr>
        <w:tc>
          <w:tcPr>
            <w:tcW w:w="1440" w:type="dxa"/>
            <w:tcBorders>
              <w:top w:val="nil"/>
              <w:left w:val="nil"/>
              <w:bottom w:val="nil"/>
              <w:right w:val="nil"/>
            </w:tcBorders>
          </w:tcPr>
          <w:p w14:paraId="0853FF3F" w14:textId="77777777" w:rsidR="009D12C4" w:rsidRDefault="00EA44D2">
            <w:pPr>
              <w:spacing w:after="0" w:line="259" w:lineRule="auto"/>
              <w:ind w:left="0" w:right="0" w:firstLine="0"/>
              <w:jc w:val="left"/>
            </w:pPr>
            <w:r>
              <w:rPr>
                <w:b/>
              </w:rPr>
              <w:t xml:space="preserve">POLG16 </w:t>
            </w:r>
          </w:p>
          <w:p w14:paraId="0853FF40" w14:textId="77777777" w:rsidR="009D12C4" w:rsidRDefault="00EA44D2">
            <w:pPr>
              <w:spacing w:after="0" w:line="259" w:lineRule="auto"/>
              <w:ind w:left="0" w:right="0" w:firstLine="0"/>
              <w:jc w:val="left"/>
            </w:pPr>
            <w:r>
              <w:rPr>
                <w:b/>
              </w:rPr>
              <w:t xml:space="preserve"> </w:t>
            </w:r>
          </w:p>
        </w:tc>
        <w:tc>
          <w:tcPr>
            <w:tcW w:w="3998" w:type="dxa"/>
            <w:tcBorders>
              <w:top w:val="nil"/>
              <w:left w:val="nil"/>
              <w:bottom w:val="nil"/>
              <w:right w:val="nil"/>
            </w:tcBorders>
          </w:tcPr>
          <w:p w14:paraId="0853FF41" w14:textId="77777777" w:rsidR="009D12C4" w:rsidRDefault="00EA44D2">
            <w:pPr>
              <w:spacing w:after="0" w:line="259" w:lineRule="auto"/>
              <w:ind w:left="0" w:right="0" w:firstLine="0"/>
            </w:pPr>
            <w:r>
              <w:rPr>
                <w:b/>
              </w:rPr>
              <w:t xml:space="preserve">Biodiversity and Nature Conservation </w:t>
            </w:r>
          </w:p>
        </w:tc>
      </w:tr>
      <w:tr w:rsidR="009D12C4" w14:paraId="0853FF45" w14:textId="77777777">
        <w:trPr>
          <w:trHeight w:val="250"/>
        </w:trPr>
        <w:tc>
          <w:tcPr>
            <w:tcW w:w="1440" w:type="dxa"/>
            <w:tcBorders>
              <w:top w:val="nil"/>
              <w:left w:val="nil"/>
              <w:bottom w:val="nil"/>
              <w:right w:val="nil"/>
            </w:tcBorders>
          </w:tcPr>
          <w:p w14:paraId="0853FF43" w14:textId="77777777" w:rsidR="009D12C4" w:rsidRDefault="00EA44D2">
            <w:pPr>
              <w:spacing w:after="0" w:line="259" w:lineRule="auto"/>
              <w:ind w:left="0" w:right="0" w:firstLine="0"/>
              <w:jc w:val="left"/>
            </w:pPr>
            <w:r>
              <w:rPr>
                <w:b/>
              </w:rPr>
              <w:t xml:space="preserve">POLG17 </w:t>
            </w:r>
          </w:p>
        </w:tc>
        <w:tc>
          <w:tcPr>
            <w:tcW w:w="3998" w:type="dxa"/>
            <w:tcBorders>
              <w:top w:val="nil"/>
              <w:left w:val="nil"/>
              <w:bottom w:val="nil"/>
              <w:right w:val="nil"/>
            </w:tcBorders>
          </w:tcPr>
          <w:p w14:paraId="0853FF44" w14:textId="77777777" w:rsidR="009D12C4" w:rsidRDefault="00EA44D2">
            <w:pPr>
              <w:spacing w:after="0" w:line="259" w:lineRule="auto"/>
              <w:ind w:left="0" w:right="0" w:firstLine="0"/>
            </w:pPr>
            <w:r>
              <w:rPr>
                <w:b/>
              </w:rPr>
              <w:t xml:space="preserve">Design Criteria for New Development </w:t>
            </w:r>
          </w:p>
        </w:tc>
      </w:tr>
    </w:tbl>
    <w:p w14:paraId="0853FF46" w14:textId="77777777" w:rsidR="009D12C4" w:rsidRDefault="00EA44D2">
      <w:pPr>
        <w:spacing w:after="0" w:line="259" w:lineRule="auto"/>
        <w:ind w:left="0" w:right="0" w:firstLine="0"/>
        <w:jc w:val="left"/>
      </w:pPr>
      <w:r>
        <w:rPr>
          <w:b/>
        </w:rPr>
        <w:t xml:space="preserve"> </w:t>
      </w:r>
    </w:p>
    <w:p w14:paraId="0853FF47" w14:textId="77777777" w:rsidR="009D12C4" w:rsidRDefault="00EA44D2">
      <w:pPr>
        <w:spacing w:after="0" w:line="259" w:lineRule="auto"/>
        <w:ind w:left="0" w:right="0" w:firstLine="0"/>
        <w:jc w:val="left"/>
      </w:pPr>
      <w:r>
        <w:rPr>
          <w:b/>
        </w:rPr>
        <w:t xml:space="preserve"> </w:t>
      </w:r>
    </w:p>
    <w:sectPr w:rsidR="009D12C4">
      <w:footerReference w:type="default" r:id="rId9"/>
      <w:pgSz w:w="11906" w:h="16838"/>
      <w:pgMar w:top="1139" w:right="1411" w:bottom="1135"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3FF4C" w14:textId="77777777" w:rsidR="0099271A" w:rsidRDefault="0099271A" w:rsidP="008C1663">
      <w:pPr>
        <w:spacing w:after="0" w:line="240" w:lineRule="auto"/>
      </w:pPr>
      <w:r>
        <w:separator/>
      </w:r>
    </w:p>
  </w:endnote>
  <w:endnote w:type="continuationSeparator" w:id="0">
    <w:p w14:paraId="0853FF4D" w14:textId="77777777" w:rsidR="0099271A" w:rsidRDefault="0099271A" w:rsidP="008C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00919"/>
      <w:docPartObj>
        <w:docPartGallery w:val="Page Numbers (Bottom of Page)"/>
        <w:docPartUnique/>
      </w:docPartObj>
    </w:sdtPr>
    <w:sdtEndPr>
      <w:rPr>
        <w:noProof/>
      </w:rPr>
    </w:sdtEndPr>
    <w:sdtContent>
      <w:p w14:paraId="0853FF4E" w14:textId="77777777" w:rsidR="00F9584F" w:rsidRDefault="00F958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53FF4F" w14:textId="77777777" w:rsidR="0099271A" w:rsidRDefault="00992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3FF4A" w14:textId="77777777" w:rsidR="0099271A" w:rsidRDefault="0099271A" w:rsidP="008C1663">
      <w:pPr>
        <w:spacing w:after="0" w:line="240" w:lineRule="auto"/>
      </w:pPr>
      <w:r>
        <w:separator/>
      </w:r>
    </w:p>
  </w:footnote>
  <w:footnote w:type="continuationSeparator" w:id="0">
    <w:p w14:paraId="0853FF4B" w14:textId="77777777" w:rsidR="0099271A" w:rsidRDefault="0099271A" w:rsidP="008C1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8B0"/>
    <w:multiLevelType w:val="hybridMultilevel"/>
    <w:tmpl w:val="6B0E56B8"/>
    <w:lvl w:ilvl="0" w:tplc="D3864722">
      <w:start w:val="1"/>
      <w:numFmt w:val="decimal"/>
      <w:lvlText w:val="%1."/>
      <w:lvlJc w:val="left"/>
      <w:pPr>
        <w:ind w:left="415" w:hanging="360"/>
      </w:pPr>
      <w:rPr>
        <w:rFonts w:hint="default"/>
      </w:rPr>
    </w:lvl>
    <w:lvl w:ilvl="1" w:tplc="08090019">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1" w15:restartNumberingAfterBreak="0">
    <w:nsid w:val="0EC13710"/>
    <w:multiLevelType w:val="hybridMultilevel"/>
    <w:tmpl w:val="47CA7394"/>
    <w:lvl w:ilvl="0" w:tplc="6BF4D222">
      <w:start w:val="3"/>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CCF5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D469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2E7A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B0B8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62C8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2677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0025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60D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830F07"/>
    <w:multiLevelType w:val="hybridMultilevel"/>
    <w:tmpl w:val="865CD69C"/>
    <w:lvl w:ilvl="0" w:tplc="C5B65EC2">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7A6F1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785B7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B82A1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6E48E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EEF1E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BE461C">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885E7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AE6AB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0544E3"/>
    <w:multiLevelType w:val="hybridMultilevel"/>
    <w:tmpl w:val="DF02CE16"/>
    <w:lvl w:ilvl="0" w:tplc="D34822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AE08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BA4C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2442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B248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065C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EC72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C4E2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8E1B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C219D9"/>
    <w:multiLevelType w:val="hybridMultilevel"/>
    <w:tmpl w:val="AA8A0F28"/>
    <w:lvl w:ilvl="0" w:tplc="B32AFA60">
      <w:start w:val="1"/>
      <w:numFmt w:val="decimal"/>
      <w:lvlText w:val="%1."/>
      <w:lvlJc w:val="left"/>
      <w:pPr>
        <w:ind w:left="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D6E6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68ED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40FE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964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D663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B025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5AFB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DA90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5D4574"/>
    <w:multiLevelType w:val="hybridMultilevel"/>
    <w:tmpl w:val="A11EAA96"/>
    <w:lvl w:ilvl="0" w:tplc="F6C0E34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52962"/>
    <w:multiLevelType w:val="hybridMultilevel"/>
    <w:tmpl w:val="98AC787E"/>
    <w:lvl w:ilvl="0" w:tplc="17906318">
      <w:start w:val="4"/>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62612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85A6F7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96A128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18E2D1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154397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5B89E5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5A0137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F5EF82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ED6B02"/>
    <w:multiLevelType w:val="hybridMultilevel"/>
    <w:tmpl w:val="FECA49B6"/>
    <w:lvl w:ilvl="0" w:tplc="1BDC169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F01E3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1610D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54A0D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00210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323CF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F8988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7E1F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543A7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3E7C08"/>
    <w:multiLevelType w:val="hybridMultilevel"/>
    <w:tmpl w:val="3B78FAA0"/>
    <w:lvl w:ilvl="0" w:tplc="730CFA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BEF84C">
      <w:start w:val="3"/>
      <w:numFmt w:val="decimal"/>
      <w:lvlText w:val="%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F4AED2">
      <w:start w:val="1"/>
      <w:numFmt w:val="lowerRoman"/>
      <w:lvlText w:val="%3"/>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FE724E">
      <w:start w:val="1"/>
      <w:numFmt w:val="decimal"/>
      <w:lvlText w:val="%4"/>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E3926">
      <w:start w:val="1"/>
      <w:numFmt w:val="lowerLetter"/>
      <w:lvlText w:val="%5"/>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54718E">
      <w:start w:val="1"/>
      <w:numFmt w:val="lowerRoman"/>
      <w:lvlText w:val="%6"/>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9AFECE">
      <w:start w:val="1"/>
      <w:numFmt w:val="decimal"/>
      <w:lvlText w:val="%7"/>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40C2AA">
      <w:start w:val="1"/>
      <w:numFmt w:val="lowerLetter"/>
      <w:lvlText w:val="%8"/>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34B33C">
      <w:start w:val="1"/>
      <w:numFmt w:val="lowerRoman"/>
      <w:lvlText w:val="%9"/>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1532F0B"/>
    <w:multiLevelType w:val="multilevel"/>
    <w:tmpl w:val="D346E22C"/>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914DF4"/>
    <w:multiLevelType w:val="hybridMultilevel"/>
    <w:tmpl w:val="B748D83C"/>
    <w:lvl w:ilvl="0" w:tplc="FDFC77E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B4EE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90D4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36FD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F875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9E26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7809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4A34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7091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3450FF"/>
    <w:multiLevelType w:val="hybridMultilevel"/>
    <w:tmpl w:val="0BDEA7F0"/>
    <w:lvl w:ilvl="0" w:tplc="20444C90">
      <w:start w:val="26"/>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8C85AF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9243DE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E22786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BA250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F58B56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2C0A54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92E1A4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27AB14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BF00E5"/>
    <w:multiLevelType w:val="hybridMultilevel"/>
    <w:tmpl w:val="EEB090E2"/>
    <w:lvl w:ilvl="0" w:tplc="B7B41042">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616793"/>
    <w:multiLevelType w:val="hybridMultilevel"/>
    <w:tmpl w:val="D616A3AA"/>
    <w:lvl w:ilvl="0" w:tplc="06264642">
      <w:start w:val="3"/>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62BF7839"/>
    <w:multiLevelType w:val="multilevel"/>
    <w:tmpl w:val="053292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3"/>
  </w:num>
  <w:num w:numId="4">
    <w:abstractNumId w:val="2"/>
  </w:num>
  <w:num w:numId="5">
    <w:abstractNumId w:val="10"/>
  </w:num>
  <w:num w:numId="6">
    <w:abstractNumId w:val="1"/>
  </w:num>
  <w:num w:numId="7">
    <w:abstractNumId w:val="6"/>
  </w:num>
  <w:num w:numId="8">
    <w:abstractNumId w:val="11"/>
  </w:num>
  <w:num w:numId="9">
    <w:abstractNumId w:val="4"/>
  </w:num>
  <w:num w:numId="10">
    <w:abstractNumId w:val="8"/>
  </w:num>
  <w:num w:numId="11">
    <w:abstractNumId w:val="14"/>
  </w:num>
  <w:num w:numId="12">
    <w:abstractNumId w:val="5"/>
  </w:num>
  <w:num w:numId="13">
    <w:abstractNumId w:val="1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C4"/>
    <w:rsid w:val="00063668"/>
    <w:rsid w:val="00070FBC"/>
    <w:rsid w:val="000969FB"/>
    <w:rsid w:val="000A604D"/>
    <w:rsid w:val="000C32E3"/>
    <w:rsid w:val="000D0058"/>
    <w:rsid w:val="000F06B5"/>
    <w:rsid w:val="00116EC3"/>
    <w:rsid w:val="0012030D"/>
    <w:rsid w:val="0016705A"/>
    <w:rsid w:val="00171130"/>
    <w:rsid w:val="00181DEC"/>
    <w:rsid w:val="00185535"/>
    <w:rsid w:val="00197746"/>
    <w:rsid w:val="001B24B5"/>
    <w:rsid w:val="001B5792"/>
    <w:rsid w:val="001B5B16"/>
    <w:rsid w:val="001C5C15"/>
    <w:rsid w:val="001F3F24"/>
    <w:rsid w:val="002326B6"/>
    <w:rsid w:val="00235368"/>
    <w:rsid w:val="00237EAE"/>
    <w:rsid w:val="00244FBD"/>
    <w:rsid w:val="00256787"/>
    <w:rsid w:val="002717B3"/>
    <w:rsid w:val="00283176"/>
    <w:rsid w:val="002A3405"/>
    <w:rsid w:val="002A5800"/>
    <w:rsid w:val="002D0396"/>
    <w:rsid w:val="002D5939"/>
    <w:rsid w:val="002E760F"/>
    <w:rsid w:val="002F4918"/>
    <w:rsid w:val="002F5640"/>
    <w:rsid w:val="00300B9B"/>
    <w:rsid w:val="00310B06"/>
    <w:rsid w:val="00312679"/>
    <w:rsid w:val="003355A3"/>
    <w:rsid w:val="00367F94"/>
    <w:rsid w:val="00397E28"/>
    <w:rsid w:val="003A53D3"/>
    <w:rsid w:val="003B64FD"/>
    <w:rsid w:val="003C2FAD"/>
    <w:rsid w:val="003E4DBE"/>
    <w:rsid w:val="003F00BA"/>
    <w:rsid w:val="003F49B7"/>
    <w:rsid w:val="0040711C"/>
    <w:rsid w:val="00407CA2"/>
    <w:rsid w:val="0043527C"/>
    <w:rsid w:val="00446561"/>
    <w:rsid w:val="00454AE6"/>
    <w:rsid w:val="004611FC"/>
    <w:rsid w:val="004B0C17"/>
    <w:rsid w:val="004F1D6D"/>
    <w:rsid w:val="0050335E"/>
    <w:rsid w:val="00504C6F"/>
    <w:rsid w:val="00533811"/>
    <w:rsid w:val="0054026B"/>
    <w:rsid w:val="00573314"/>
    <w:rsid w:val="00574749"/>
    <w:rsid w:val="0058195C"/>
    <w:rsid w:val="00597539"/>
    <w:rsid w:val="005A0DEF"/>
    <w:rsid w:val="005A47AD"/>
    <w:rsid w:val="005E5BA9"/>
    <w:rsid w:val="005F2063"/>
    <w:rsid w:val="006069B1"/>
    <w:rsid w:val="00612CF6"/>
    <w:rsid w:val="00615896"/>
    <w:rsid w:val="00692959"/>
    <w:rsid w:val="006E0440"/>
    <w:rsid w:val="006F3BC3"/>
    <w:rsid w:val="0071115F"/>
    <w:rsid w:val="00724CBA"/>
    <w:rsid w:val="00775571"/>
    <w:rsid w:val="007C3FB1"/>
    <w:rsid w:val="007D60AC"/>
    <w:rsid w:val="007E5210"/>
    <w:rsid w:val="007E7E4D"/>
    <w:rsid w:val="007F4293"/>
    <w:rsid w:val="00800180"/>
    <w:rsid w:val="008359AE"/>
    <w:rsid w:val="00841933"/>
    <w:rsid w:val="00845249"/>
    <w:rsid w:val="00852A2F"/>
    <w:rsid w:val="0085781D"/>
    <w:rsid w:val="0086020C"/>
    <w:rsid w:val="00861DCB"/>
    <w:rsid w:val="00881B66"/>
    <w:rsid w:val="008A66C0"/>
    <w:rsid w:val="008C1663"/>
    <w:rsid w:val="008F7DF2"/>
    <w:rsid w:val="009154F6"/>
    <w:rsid w:val="009256D8"/>
    <w:rsid w:val="00935B24"/>
    <w:rsid w:val="00956472"/>
    <w:rsid w:val="009625A9"/>
    <w:rsid w:val="00980145"/>
    <w:rsid w:val="0099271A"/>
    <w:rsid w:val="009B20C7"/>
    <w:rsid w:val="009D0B1C"/>
    <w:rsid w:val="009D12C4"/>
    <w:rsid w:val="009D268F"/>
    <w:rsid w:val="00A00793"/>
    <w:rsid w:val="00A033F0"/>
    <w:rsid w:val="00A752A2"/>
    <w:rsid w:val="00AD0D27"/>
    <w:rsid w:val="00AF3619"/>
    <w:rsid w:val="00B24573"/>
    <w:rsid w:val="00B25A3A"/>
    <w:rsid w:val="00B4554F"/>
    <w:rsid w:val="00B65084"/>
    <w:rsid w:val="00B84502"/>
    <w:rsid w:val="00BD5C87"/>
    <w:rsid w:val="00BE04F2"/>
    <w:rsid w:val="00C24A0E"/>
    <w:rsid w:val="00C24E02"/>
    <w:rsid w:val="00C46B70"/>
    <w:rsid w:val="00C46C60"/>
    <w:rsid w:val="00C54482"/>
    <w:rsid w:val="00C60043"/>
    <w:rsid w:val="00C663B4"/>
    <w:rsid w:val="00CA20D2"/>
    <w:rsid w:val="00CA3F04"/>
    <w:rsid w:val="00CD5A4C"/>
    <w:rsid w:val="00CE19B8"/>
    <w:rsid w:val="00CF29F5"/>
    <w:rsid w:val="00D11D3F"/>
    <w:rsid w:val="00D11DF1"/>
    <w:rsid w:val="00D16727"/>
    <w:rsid w:val="00D26F56"/>
    <w:rsid w:val="00D408AF"/>
    <w:rsid w:val="00D47435"/>
    <w:rsid w:val="00D5609B"/>
    <w:rsid w:val="00DB0D15"/>
    <w:rsid w:val="00E0499A"/>
    <w:rsid w:val="00E239E9"/>
    <w:rsid w:val="00E72A05"/>
    <w:rsid w:val="00E84233"/>
    <w:rsid w:val="00EA44D2"/>
    <w:rsid w:val="00EA5060"/>
    <w:rsid w:val="00EF754A"/>
    <w:rsid w:val="00F12C2E"/>
    <w:rsid w:val="00F13E59"/>
    <w:rsid w:val="00F20AA5"/>
    <w:rsid w:val="00F32DD5"/>
    <w:rsid w:val="00F364E9"/>
    <w:rsid w:val="00F47B96"/>
    <w:rsid w:val="00F5160B"/>
    <w:rsid w:val="00F6475C"/>
    <w:rsid w:val="00F66B19"/>
    <w:rsid w:val="00F9584F"/>
    <w:rsid w:val="00FA1E57"/>
    <w:rsid w:val="00FA6396"/>
    <w:rsid w:val="00FB6CAB"/>
    <w:rsid w:val="00FE6BBA"/>
    <w:rsid w:val="00FF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3FE6E"/>
  <w15:docId w15:val="{4A9C4C7A-1A2E-49B1-B48F-B78757AC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5"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u w:val="single" w:color="000000"/>
    </w:rPr>
  </w:style>
  <w:style w:type="paragraph" w:styleId="Heading4">
    <w:name w:val="heading 4"/>
    <w:next w:val="Normal"/>
    <w:link w:val="Heading4Char"/>
    <w:uiPriority w:val="9"/>
    <w:unhideWhenUsed/>
    <w:qFormat/>
    <w:pPr>
      <w:keepNext/>
      <w:keepLines/>
      <w:spacing w:after="1"/>
      <w:ind w:left="1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3Char">
    <w:name w:val="Heading 3 Char"/>
    <w:link w:val="Heading3"/>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A44D2"/>
    <w:pPr>
      <w:ind w:left="720"/>
      <w:contextualSpacing/>
    </w:pPr>
  </w:style>
  <w:style w:type="table" w:styleId="TableGrid0">
    <w:name w:val="Table Grid"/>
    <w:basedOn w:val="TableNormal"/>
    <w:uiPriority w:val="39"/>
    <w:rsid w:val="001F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663"/>
    <w:rPr>
      <w:rFonts w:ascii="Arial" w:eastAsia="Arial" w:hAnsi="Arial" w:cs="Arial"/>
      <w:color w:val="000000"/>
    </w:rPr>
  </w:style>
  <w:style w:type="paragraph" w:styleId="Footer">
    <w:name w:val="footer"/>
    <w:basedOn w:val="Normal"/>
    <w:link w:val="FooterChar"/>
    <w:uiPriority w:val="99"/>
    <w:unhideWhenUsed/>
    <w:rsid w:val="008C1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663"/>
    <w:rPr>
      <w:rFonts w:ascii="Arial" w:eastAsia="Arial" w:hAnsi="Arial" w:cs="Arial"/>
      <w:color w:val="000000"/>
    </w:rPr>
  </w:style>
  <w:style w:type="paragraph" w:styleId="BalloonText">
    <w:name w:val="Balloon Text"/>
    <w:basedOn w:val="Normal"/>
    <w:link w:val="BalloonTextChar"/>
    <w:uiPriority w:val="99"/>
    <w:semiHidden/>
    <w:unhideWhenUsed/>
    <w:rsid w:val="002F5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4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ED9AD-351A-40E0-9C6B-6E16D3AA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COMMITTEE REPORT</vt:lpstr>
    </vt:vector>
  </TitlesOfParts>
  <Company>South Ribble Borough Council</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dc:title>
  <dc:subject/>
  <dc:creator>Authorised User</dc:creator>
  <cp:keywords/>
  <cp:lastModifiedBy>Charlotte Lynch</cp:lastModifiedBy>
  <cp:revision>71</cp:revision>
  <cp:lastPrinted>2020-12-21T14:17:00Z</cp:lastPrinted>
  <dcterms:created xsi:type="dcterms:W3CDTF">2021-09-22T07:55:00Z</dcterms:created>
  <dcterms:modified xsi:type="dcterms:W3CDTF">2021-09-29T11:06:00Z</dcterms:modified>
</cp:coreProperties>
</file>